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20268">
      <w:pPr>
        <w:pStyle w:val="2"/>
        <w:jc w:val="center"/>
        <w:rPr>
          <w:rFonts w:ascii="Arial" w:hAnsi="Arial" w:cs="Arial"/>
        </w:rPr>
      </w:pPr>
      <w:r>
        <w:rPr>
          <w:rFonts w:ascii="Arial" w:hAnsi="Arial" w:cs="Arial"/>
        </w:rPr>
        <w:t>项目服务需求</w:t>
      </w:r>
    </w:p>
    <w:p w14:paraId="6D66524A">
      <w:pPr>
        <w:pStyle w:val="3"/>
        <w:kinsoku w:val="0"/>
        <w:overflowPunct w:val="0"/>
        <w:rPr>
          <w:rFonts w:hint="eastAsia" w:ascii="Arial" w:hAnsi="Arial" w:cs="Arial"/>
        </w:rPr>
      </w:pPr>
    </w:p>
    <w:p w14:paraId="7373C3C5">
      <w:pPr>
        <w:pStyle w:val="3"/>
        <w:kinsoku w:val="0"/>
        <w:overflowPunct w:val="0"/>
        <w:rPr>
          <w:rFonts w:ascii="Arial" w:hAnsi="Arial" w:cs="Arial"/>
        </w:rPr>
      </w:pPr>
      <w:r>
        <w:rPr>
          <w:rFonts w:hint="eastAsia" w:ascii="Arial" w:hAnsi="Arial" w:cs="Arial"/>
        </w:rPr>
        <w:t>一、服务内容</w:t>
      </w:r>
    </w:p>
    <w:p w14:paraId="5CD0D57D">
      <w:pPr>
        <w:pStyle w:val="3"/>
        <w:kinsoku w:val="0"/>
        <w:overflowPunct w:val="0"/>
        <w:ind w:left="0" w:firstLine="420" w:firstLineChars="200"/>
        <w:rPr>
          <w:rFonts w:hint="eastAsia" w:ascii="Arial" w:hAnsi="Arial" w:cs="Arial"/>
          <w:b w:val="0"/>
          <w:bCs w:val="0"/>
        </w:rPr>
      </w:pPr>
      <w:bookmarkStart w:id="0" w:name="_Hlk133505591"/>
      <w:r>
        <w:rPr>
          <w:rFonts w:hint="eastAsia" w:ascii="Arial" w:hAnsi="Arial" w:cs="Arial"/>
          <w:b w:val="0"/>
          <w:bCs w:val="0"/>
        </w:rPr>
        <w:t>（一）服务需求</w:t>
      </w:r>
    </w:p>
    <w:p w14:paraId="186B6F98">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1、年度审计服务项目。即对年度财务报告进行审计，并出具审计报告及管理建议书。</w:t>
      </w:r>
    </w:p>
    <w:p w14:paraId="07F47216">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（1）对桂林银行按照中国会计准则编制的年度财务报告，按照中国审计准则进行审计并发表审计意见（分别列示本行及集团合并财务数据），出具中文版审计报告。</w:t>
      </w:r>
    </w:p>
    <w:p w14:paraId="64D0CF65">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（2）对桂林银行控股的7家村镇银行按相关会计准则编制的年度财务报告进行审计并发表审计意见，分别出具七家村镇银行中文版审计报告。</w:t>
      </w:r>
    </w:p>
    <w:p w14:paraId="2178E28E">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（3）对桂林银行本行及控股的7家村镇银行会计处理、内部控制及与审计相关的其他事项出具对加强经营管理有实际指导意义的《管理建议书》。</w:t>
      </w:r>
    </w:p>
    <w:p w14:paraId="299F2974">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2.其他服务</w:t>
      </w:r>
    </w:p>
    <w:p w14:paraId="3B051100">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（1）对审计过程中的相关问题，及时与招标人沟通、反馈，积极配合，研究解决方案。</w:t>
      </w:r>
    </w:p>
    <w:p w14:paraId="6A3E81A7">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（2）就国内外银行业监管和会计准则的最新发展对桂林银行提出有针对性的管理建议</w:t>
      </w:r>
      <w:bookmarkEnd w:id="0"/>
      <w:r>
        <w:rPr>
          <w:rFonts w:hint="eastAsia" w:ascii="Arial" w:hAnsi="Arial" w:cs="Arial"/>
          <w:b w:val="0"/>
          <w:bCs w:val="0"/>
          <w:lang w:val="en-US" w:eastAsia="zh-CN"/>
        </w:rPr>
        <w:t>。</w:t>
      </w:r>
    </w:p>
    <w:p w14:paraId="32B8CCCA">
      <w:pPr>
        <w:pStyle w:val="3"/>
        <w:kinsoku w:val="0"/>
        <w:overflowPunct w:val="0"/>
        <w:rPr>
          <w:rFonts w:ascii="Arial" w:hAnsi="Arial" w:cs="Arial"/>
          <w:color w:val="000000"/>
        </w:rPr>
      </w:pPr>
      <w:r>
        <w:rPr>
          <w:rFonts w:hint="eastAsia" w:ascii="Arial" w:hAnsi="Arial" w:cs="Arial"/>
          <w:color w:val="000000"/>
        </w:rPr>
        <w:t>二、项目团队人员需求</w:t>
      </w:r>
    </w:p>
    <w:p w14:paraId="474D5F0F">
      <w:pPr>
        <w:pStyle w:val="3"/>
        <w:kinsoku w:val="0"/>
        <w:overflowPunct w:val="0"/>
        <w:ind w:left="0" w:firstLine="420" w:firstLineChars="200"/>
        <w:rPr>
          <w:rFonts w:hint="eastAsia" w:ascii="Arial" w:hAnsi="Arial" w:eastAsia="宋体" w:cs="Arial"/>
          <w:b w:val="0"/>
          <w:bCs w:val="0"/>
        </w:rPr>
      </w:pPr>
      <w:r>
        <w:rPr>
          <w:rFonts w:hint="eastAsia" w:ascii="Arial" w:hAnsi="Arial" w:eastAsia="宋体" w:cs="Arial"/>
          <w:b w:val="0"/>
          <w:bCs w:val="0"/>
        </w:rPr>
        <w:t>1、项目领导人员（总负责人及各条线负责人）具备良好的沟通能力和组织能力；</w:t>
      </w:r>
    </w:p>
    <w:p w14:paraId="028226AC">
      <w:pPr>
        <w:pStyle w:val="3"/>
        <w:kinsoku w:val="0"/>
        <w:overflowPunct w:val="0"/>
        <w:ind w:left="0" w:firstLine="420" w:firstLineChars="200"/>
        <w:rPr>
          <w:rFonts w:hint="eastAsia" w:ascii="Arial" w:hAnsi="Arial" w:eastAsia="宋体" w:cs="Arial"/>
          <w:b w:val="0"/>
          <w:bCs w:val="0"/>
        </w:rPr>
      </w:pPr>
      <w:r>
        <w:rPr>
          <w:rFonts w:hint="eastAsia" w:ascii="Arial" w:hAnsi="Arial" w:eastAsia="宋体" w:cs="Arial"/>
          <w:b w:val="0"/>
          <w:bCs w:val="0"/>
        </w:rPr>
        <w:t>2、项目领导人员（总负责人及各条线负责人）拥有5年及以上从业经验，有2个及以上为中国境内金融机构提供审计服务的项目经验；</w:t>
      </w:r>
    </w:p>
    <w:p w14:paraId="74EE8655">
      <w:pPr>
        <w:pStyle w:val="3"/>
        <w:kinsoku w:val="0"/>
        <w:overflowPunct w:val="0"/>
        <w:ind w:left="0" w:firstLine="420" w:firstLineChars="200"/>
        <w:rPr>
          <w:rFonts w:hint="eastAsia" w:ascii="Arial" w:hAnsi="Arial" w:eastAsia="宋体" w:cs="Arial"/>
          <w:b w:val="0"/>
          <w:bCs w:val="0"/>
        </w:rPr>
      </w:pPr>
      <w:r>
        <w:rPr>
          <w:rFonts w:hint="eastAsia" w:ascii="Arial" w:hAnsi="Arial" w:eastAsia="宋体" w:cs="Arial"/>
          <w:b w:val="0"/>
          <w:bCs w:val="0"/>
        </w:rPr>
        <w:t>3、</w:t>
      </w:r>
      <w:r>
        <w:rPr>
          <w:rFonts w:hint="eastAsia" w:ascii="Arial" w:hAnsi="Arial" w:eastAsia="宋体" w:cs="Arial"/>
          <w:b w:val="0"/>
          <w:bCs w:val="0"/>
          <w:lang w:val="en-US" w:eastAsia="zh-CN"/>
        </w:rPr>
        <w:t>拟投入本</w:t>
      </w:r>
      <w:r>
        <w:rPr>
          <w:rFonts w:hint="eastAsia" w:ascii="Arial" w:hAnsi="Arial" w:eastAsia="宋体" w:cs="Arial"/>
          <w:b w:val="0"/>
          <w:bCs w:val="0"/>
        </w:rPr>
        <w:t>项目团队人员10人以上（含10人）</w:t>
      </w:r>
      <w:r>
        <w:rPr>
          <w:rFonts w:hint="eastAsia" w:ascii="Arial" w:hAnsi="Arial" w:eastAsia="宋体" w:cs="Arial"/>
          <w:b w:val="0"/>
          <w:bCs w:val="0"/>
          <w:lang w:eastAsia="zh-CN"/>
        </w:rPr>
        <w:t>（</w:t>
      </w:r>
      <w:r>
        <w:rPr>
          <w:rFonts w:hint="eastAsia" w:ascii="Arial" w:hAnsi="Arial" w:eastAsia="宋体" w:cs="Arial"/>
          <w:b w:val="0"/>
          <w:bCs w:val="0"/>
          <w:lang w:val="en-US" w:eastAsia="zh-CN"/>
        </w:rPr>
        <w:t>不含</w:t>
      </w:r>
      <w:r>
        <w:rPr>
          <w:rFonts w:hint="eastAsia" w:ascii="Arial" w:hAnsi="Arial" w:eastAsia="宋体" w:cs="Arial"/>
          <w:b w:val="0"/>
          <w:bCs w:val="0"/>
        </w:rPr>
        <w:t>总负责人及各条线负责人</w:t>
      </w:r>
      <w:r>
        <w:rPr>
          <w:rFonts w:hint="eastAsia" w:ascii="Arial" w:hAnsi="Arial" w:eastAsia="宋体" w:cs="Arial"/>
          <w:b w:val="0"/>
          <w:bCs w:val="0"/>
          <w:lang w:eastAsia="zh-CN"/>
        </w:rPr>
        <w:t>），</w:t>
      </w:r>
      <w:r>
        <w:rPr>
          <w:rFonts w:hint="eastAsia" w:ascii="Arial" w:hAnsi="Arial" w:eastAsia="宋体" w:cs="Arial"/>
          <w:b w:val="0"/>
          <w:bCs w:val="0"/>
        </w:rPr>
        <w:t>项目团队成员拥有2年及以上从业经验，至少参与过1-2个及以上为中国境内金融机构提供审计服务的项目经验。</w:t>
      </w:r>
    </w:p>
    <w:p w14:paraId="1AF41CC9">
      <w:pPr>
        <w:pStyle w:val="3"/>
        <w:kinsoku w:val="0"/>
        <w:overflowPunct w:val="0"/>
        <w:ind w:left="0" w:firstLine="420" w:firstLineChars="200"/>
        <w:rPr>
          <w:rFonts w:hint="eastAsia" w:ascii="Arial" w:hAnsi="Arial" w:eastAsia="宋体" w:cs="Arial"/>
          <w:b w:val="0"/>
          <w:bCs w:val="0"/>
        </w:rPr>
      </w:pPr>
      <w:r>
        <w:rPr>
          <w:rFonts w:hint="eastAsia" w:ascii="Arial" w:hAnsi="Arial" w:eastAsia="宋体" w:cs="Arial"/>
          <w:b w:val="0"/>
          <w:bCs w:val="0"/>
          <w:lang w:val="en-US" w:eastAsia="zh-CN"/>
        </w:rPr>
        <w:t>4、</w:t>
      </w:r>
      <w:r>
        <w:rPr>
          <w:rFonts w:hint="eastAsia" w:ascii="Arial" w:hAnsi="Arial" w:eastAsia="宋体" w:cs="Arial"/>
          <w:b w:val="0"/>
          <w:bCs w:val="0"/>
        </w:rPr>
        <w:t>审计项目合伙人、签字注册会计师累计实际承担同一国有企业、上市公司审计业务满5年的，之后连续5年不得参与该国有企业、上市公司的审计业务。</w:t>
      </w:r>
    </w:p>
    <w:p w14:paraId="51EF59F5">
      <w:pPr>
        <w:pStyle w:val="3"/>
        <w:kinsoku w:val="0"/>
        <w:overflowPunct w:val="0"/>
        <w:rPr>
          <w:rFonts w:ascii="Arial" w:hAnsi="Arial" w:cs="Arial"/>
        </w:rPr>
      </w:pPr>
      <w:r>
        <w:rPr>
          <w:rFonts w:hint="eastAsia" w:ascii="Arial" w:hAnsi="Arial" w:cs="Arial"/>
        </w:rPr>
        <w:t>三、付款方式</w:t>
      </w:r>
    </w:p>
    <w:p w14:paraId="364E6223">
      <w:pPr>
        <w:ind w:firstLine="420"/>
        <w:rPr>
          <w:rFonts w:hint="eastAsia"/>
        </w:rPr>
      </w:pPr>
      <w:r>
        <w:rPr>
          <w:rFonts w:hint="eastAsia"/>
        </w:rPr>
        <w:t>最终付款方式以招标人与中标人签订合同为准。</w:t>
      </w:r>
    </w:p>
    <w:p w14:paraId="5A9D7E5E">
      <w:pPr>
        <w:pStyle w:val="3"/>
        <w:kinsoku w:val="0"/>
        <w:overflowPunct w:val="0"/>
        <w:rPr>
          <w:rFonts w:ascii="Arial" w:hAnsi="Arial" w:cs="Arial"/>
        </w:rPr>
      </w:pPr>
      <w:r>
        <w:rPr>
          <w:rFonts w:hint="eastAsia" w:ascii="Arial" w:hAnsi="Arial" w:cs="Arial"/>
        </w:rPr>
        <w:t>四、验收标准</w:t>
      </w:r>
    </w:p>
    <w:p w14:paraId="166FC0D5">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1、按照协议要求如期完成项目并交付材料</w:t>
      </w:r>
    </w:p>
    <w:p w14:paraId="0A22D992">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（1）对桂林银行按照中国企业会计准则及国际财务报告准则编制的年度财务报表执行审计并出具审计报告（分别列示本行及集团合并财务数据）。</w:t>
      </w:r>
    </w:p>
    <w:p w14:paraId="59ED473E">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（2）对桂林银行控股的七家村镇银行按相关会计准则编制的年度财务报告进行审计并发表审计意见，分别出具七家村镇银行中文版审计报告。</w:t>
      </w:r>
    </w:p>
    <w:p w14:paraId="43DCA04F">
      <w:pPr>
        <w:pStyle w:val="3"/>
        <w:kinsoku w:val="0"/>
        <w:overflowPunct w:val="0"/>
        <w:ind w:left="0" w:firstLine="420" w:firstLineChars="200"/>
        <w:rPr>
          <w:rFonts w:hint="eastAsia" w:ascii="Arial" w:hAnsi="Arial" w:cs="Arial"/>
          <w:b w:val="0"/>
          <w:bCs w:val="0"/>
        </w:rPr>
      </w:pPr>
      <w:r>
        <w:rPr>
          <w:rFonts w:hint="eastAsia" w:ascii="Arial" w:hAnsi="Arial" w:cs="Arial"/>
          <w:b w:val="0"/>
          <w:bCs w:val="0"/>
        </w:rPr>
        <w:t>（3）对桂林银行本行及控股的七家村镇银行会计处理、内部控制及与审计相关的其他事项出具对加强经营管理有实际指导意义的《管理建议书》。</w:t>
      </w:r>
    </w:p>
    <w:p w14:paraId="7AAA0211">
      <w:pPr>
        <w:pStyle w:val="3"/>
        <w:keepNext w:val="0"/>
        <w:keepLines w:val="0"/>
        <w:pageBreakBefore w:val="0"/>
        <w:widowControl w:val="0"/>
        <w:kinsoku/>
        <w:wordWrap/>
        <w:overflowPunct/>
        <w:topLinePunct w:val="0"/>
        <w:autoSpaceDE w:val="0"/>
        <w:autoSpaceDN w:val="0"/>
        <w:bidi w:val="0"/>
        <w:adjustRightInd w:val="0"/>
        <w:snapToGrid/>
        <w:ind w:left="0" w:firstLine="420" w:firstLineChars="200"/>
        <w:textAlignment w:val="auto"/>
        <w:rPr>
          <w:rFonts w:hint="eastAsia" w:ascii="Arial" w:hAnsi="Arial" w:cs="Arial"/>
          <w:b w:val="0"/>
          <w:bCs w:val="0"/>
        </w:rPr>
      </w:pPr>
      <w:r>
        <w:rPr>
          <w:rFonts w:hint="eastAsia" w:ascii="Arial" w:hAnsi="Arial" w:cs="Arial"/>
          <w:b w:val="0"/>
          <w:bCs w:val="0"/>
        </w:rPr>
        <w:t>2、其他验收标准</w:t>
      </w:r>
    </w:p>
    <w:p w14:paraId="05F84B81">
      <w:pPr>
        <w:pStyle w:val="3"/>
        <w:keepNext w:val="0"/>
        <w:keepLines w:val="0"/>
        <w:pageBreakBefore w:val="0"/>
        <w:widowControl w:val="0"/>
        <w:kinsoku/>
        <w:wordWrap/>
        <w:overflowPunct/>
        <w:topLinePunct w:val="0"/>
        <w:autoSpaceDE w:val="0"/>
        <w:autoSpaceDN w:val="0"/>
        <w:bidi w:val="0"/>
        <w:adjustRightInd w:val="0"/>
        <w:snapToGrid/>
        <w:ind w:left="0" w:firstLine="420" w:firstLineChars="200"/>
        <w:textAlignment w:val="auto"/>
        <w:rPr>
          <w:rFonts w:hint="eastAsia" w:ascii="Arial" w:hAnsi="Arial" w:cs="Arial"/>
          <w:b w:val="0"/>
          <w:bCs w:val="0"/>
        </w:rPr>
      </w:pPr>
      <w:r>
        <w:rPr>
          <w:rFonts w:hint="eastAsia" w:ascii="Arial" w:hAnsi="Arial" w:cs="Arial"/>
          <w:b w:val="0"/>
          <w:bCs w:val="0"/>
        </w:rPr>
        <w:t>（1）根据中国审计准则及国际审计准则执行审计工作，对招标人的上述财务报表的下列方面发表审计意见，并向招标人董事会报告：</w:t>
      </w:r>
    </w:p>
    <w:p w14:paraId="471F4ED5">
      <w:pPr>
        <w:pStyle w:val="3"/>
        <w:keepNext w:val="0"/>
        <w:keepLines w:val="0"/>
        <w:pageBreakBefore w:val="0"/>
        <w:widowControl w:val="0"/>
        <w:kinsoku/>
        <w:wordWrap/>
        <w:overflowPunct/>
        <w:topLinePunct w:val="0"/>
        <w:autoSpaceDE w:val="0"/>
        <w:autoSpaceDN w:val="0"/>
        <w:bidi w:val="0"/>
        <w:adjustRightInd w:val="0"/>
        <w:snapToGrid/>
        <w:ind w:left="0" w:firstLine="420" w:firstLineChars="200"/>
        <w:textAlignment w:val="auto"/>
        <w:rPr>
          <w:rFonts w:hint="eastAsia" w:ascii="Arial" w:hAnsi="Arial" w:cs="Arial"/>
          <w:b w:val="0"/>
          <w:bCs w:val="0"/>
        </w:rPr>
      </w:pPr>
      <w:r>
        <w:rPr>
          <w:rFonts w:hint="eastAsia" w:ascii="Arial" w:hAnsi="Arial" w:cs="Arial"/>
          <w:b w:val="0"/>
          <w:bCs w:val="0"/>
        </w:rPr>
        <w:t>1.1 财务报表是否在所有重大方面按照中国企业会计准则及国际财务报告准则的规定编制。</w:t>
      </w:r>
    </w:p>
    <w:p w14:paraId="6454D5DE">
      <w:pPr>
        <w:pStyle w:val="3"/>
        <w:keepNext w:val="0"/>
        <w:keepLines w:val="0"/>
        <w:pageBreakBefore w:val="0"/>
        <w:widowControl w:val="0"/>
        <w:kinsoku/>
        <w:wordWrap/>
        <w:overflowPunct/>
        <w:topLinePunct w:val="0"/>
        <w:autoSpaceDE w:val="0"/>
        <w:autoSpaceDN w:val="0"/>
        <w:bidi w:val="0"/>
        <w:adjustRightInd w:val="0"/>
        <w:snapToGrid/>
        <w:ind w:left="0" w:firstLine="420" w:firstLineChars="200"/>
        <w:textAlignment w:val="auto"/>
        <w:rPr>
          <w:rFonts w:hint="eastAsia" w:ascii="Arial" w:hAnsi="Arial" w:cs="Arial"/>
          <w:b w:val="0"/>
          <w:bCs w:val="0"/>
        </w:rPr>
      </w:pPr>
      <w:r>
        <w:rPr>
          <w:rFonts w:hint="eastAsia" w:ascii="Arial" w:hAnsi="Arial" w:cs="Arial"/>
          <w:b w:val="0"/>
          <w:bCs w:val="0"/>
        </w:rPr>
        <w:t>1.2 财务报表是否在所有重大方面公允反映了招标人当年年末的财务状况、当年的经营成果及现金流量。</w:t>
      </w:r>
    </w:p>
    <w:p w14:paraId="70C5E417">
      <w:pPr>
        <w:pStyle w:val="3"/>
        <w:keepNext w:val="0"/>
        <w:keepLines w:val="0"/>
        <w:pageBreakBefore w:val="0"/>
        <w:widowControl w:val="0"/>
        <w:kinsoku/>
        <w:wordWrap/>
        <w:overflowPunct/>
        <w:topLinePunct w:val="0"/>
        <w:autoSpaceDE w:val="0"/>
        <w:autoSpaceDN w:val="0"/>
        <w:bidi w:val="0"/>
        <w:adjustRightInd w:val="0"/>
        <w:snapToGrid/>
        <w:ind w:left="0" w:firstLine="420" w:firstLineChars="200"/>
        <w:textAlignment w:val="auto"/>
        <w:rPr>
          <w:rFonts w:hint="eastAsia" w:ascii="Arial" w:hAnsi="Arial" w:cs="Arial"/>
          <w:b w:val="0"/>
          <w:bCs w:val="0"/>
          <w:highlight w:val="cyan"/>
        </w:rPr>
      </w:pPr>
      <w:r>
        <w:rPr>
          <w:rFonts w:hint="eastAsia" w:ascii="Arial" w:hAnsi="Arial" w:cs="Arial"/>
          <w:b w:val="0"/>
          <w:bCs w:val="0"/>
        </w:rPr>
        <w:t>（2）就国内外银行业监管和会计准则的最新发展对桂林银行提出有针对性的管理建</w:t>
      </w:r>
      <w:r>
        <w:rPr>
          <w:rFonts w:hint="eastAsia" w:ascii="Arial" w:hAnsi="Arial" w:cs="Arial"/>
          <w:b w:val="0"/>
          <w:bCs w:val="0"/>
          <w:highlight w:val="none"/>
        </w:rPr>
        <w:t>议。</w:t>
      </w:r>
    </w:p>
    <w:p w14:paraId="6379CFDF">
      <w:pPr>
        <w:ind w:firstLine="418"/>
        <w:rPr>
          <w:rFonts w:ascii="Arial" w:hAnsi="Arial" w:cs="Arial"/>
          <w:b/>
          <w:bCs/>
          <w:spacing w:val="-1"/>
        </w:rPr>
      </w:pPr>
    </w:p>
    <w:p w14:paraId="6BC2FB21">
      <w:pPr>
        <w:ind w:firstLine="418"/>
        <w:rPr>
          <w:rFonts w:ascii="Arial" w:hAnsi="Arial" w:cs="Arial"/>
          <w:b/>
          <w:bCs/>
          <w:spacing w:val="-1"/>
        </w:rPr>
      </w:pPr>
      <w:r>
        <w:rPr>
          <w:rFonts w:ascii="Arial" w:hAnsi="Arial" w:cs="Arial"/>
          <w:b/>
          <w:bCs/>
          <w:spacing w:val="-1"/>
        </w:rPr>
        <w:t>注：招标文件中所有标注▲号的条款，不允许负偏离，否则投标将被否决。</w:t>
      </w:r>
      <w:bookmarkStart w:id="1" w:name="bookmark148"/>
      <w:bookmarkEnd w:id="1"/>
    </w:p>
    <w:p w14:paraId="56186F77">
      <w:pPr>
        <w:rPr>
          <w:rFonts w:ascii="Arial" w:hAnsi="Arial" w:cs="Arial"/>
          <w:b/>
          <w:bCs/>
          <w:sz w:val="32"/>
          <w:szCs w:val="44"/>
        </w:rPr>
      </w:pPr>
      <w:r>
        <w:rPr>
          <w:rFonts w:ascii="Arial" w:hAnsi="Arial" w:cs="Arial"/>
          <w:b/>
          <w:bCs/>
          <w:sz w:val="32"/>
          <w:szCs w:val="44"/>
        </w:rPr>
        <w:br w:type="page"/>
      </w:r>
      <w:bookmarkStart w:id="5" w:name="_GoBack"/>
      <w:bookmarkEnd w:id="5"/>
    </w:p>
    <w:p w14:paraId="3D526365">
      <w:pPr>
        <w:pStyle w:val="5"/>
        <w:kinsoku w:val="0"/>
        <w:overflowPunct w:val="0"/>
        <w:spacing w:line="564" w:lineRule="exact"/>
        <w:ind w:firstLine="0" w:firstLineChars="0"/>
        <w:jc w:val="center"/>
        <w:outlineLvl w:val="0"/>
        <w:rPr>
          <w:rFonts w:ascii="Arial" w:hAnsi="Arial" w:cs="Arial"/>
          <w:b/>
          <w:bCs/>
          <w:sz w:val="44"/>
          <w:szCs w:val="44"/>
        </w:rPr>
      </w:pPr>
      <w:r>
        <w:rPr>
          <w:rFonts w:ascii="Arial" w:hAnsi="Arial" w:cs="Arial"/>
          <w:b/>
          <w:bCs/>
          <w:sz w:val="32"/>
          <w:szCs w:val="44"/>
        </w:rPr>
        <w:t>评标办法（综合评估法）</w:t>
      </w:r>
    </w:p>
    <w:p w14:paraId="204464FE">
      <w:pPr>
        <w:pStyle w:val="2"/>
        <w:jc w:val="center"/>
        <w:rPr>
          <w:rFonts w:ascii="Arial" w:hAnsi="Arial" w:cs="Arial"/>
        </w:rPr>
      </w:pPr>
      <w:bookmarkStart w:id="2" w:name="bookmark86"/>
      <w:bookmarkEnd w:id="2"/>
      <w:bookmarkStart w:id="3" w:name="_Toc495683073"/>
      <w:bookmarkStart w:id="4" w:name="_Toc495683217"/>
      <w:r>
        <w:rPr>
          <w:rFonts w:ascii="Arial" w:hAnsi="Arial" w:cs="Arial"/>
        </w:rPr>
        <w:t>评标办法前附表</w:t>
      </w:r>
      <w:bookmarkEnd w:id="3"/>
      <w:bookmarkEnd w:id="4"/>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969"/>
        <w:gridCol w:w="1392"/>
        <w:gridCol w:w="6506"/>
      </w:tblGrid>
      <w:tr w14:paraId="65752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869" w:type="dxa"/>
            <w:gridSpan w:val="2"/>
            <w:noWrap w:val="0"/>
            <w:vAlign w:val="center"/>
          </w:tcPr>
          <w:p w14:paraId="43E3AD56">
            <w:pPr>
              <w:pStyle w:val="8"/>
              <w:kinsoku w:val="0"/>
              <w:overflowPunct w:val="0"/>
              <w:ind w:firstLine="0" w:firstLineChars="0"/>
              <w:jc w:val="center"/>
              <w:rPr>
                <w:rFonts w:ascii="Arial" w:hAnsi="Arial" w:cs="Arial"/>
              </w:rPr>
            </w:pPr>
            <w:r>
              <w:rPr>
                <w:rFonts w:ascii="Arial" w:hAnsi="Arial" w:cs="Arial"/>
                <w:b/>
                <w:bCs/>
              </w:rPr>
              <w:t>条款号</w:t>
            </w:r>
          </w:p>
        </w:tc>
        <w:tc>
          <w:tcPr>
            <w:tcW w:w="1392" w:type="dxa"/>
            <w:noWrap w:val="0"/>
            <w:vAlign w:val="center"/>
          </w:tcPr>
          <w:p w14:paraId="5B40B9E4">
            <w:pPr>
              <w:pStyle w:val="8"/>
              <w:kinsoku w:val="0"/>
              <w:overflowPunct w:val="0"/>
              <w:ind w:firstLine="0" w:firstLineChars="0"/>
              <w:jc w:val="center"/>
              <w:rPr>
                <w:rFonts w:ascii="Arial" w:hAnsi="Arial" w:cs="Arial"/>
              </w:rPr>
            </w:pPr>
            <w:r>
              <w:rPr>
                <w:rFonts w:ascii="Arial" w:hAnsi="Arial" w:cs="Arial"/>
                <w:b/>
                <w:bCs/>
              </w:rPr>
              <w:t>评审因素</w:t>
            </w:r>
          </w:p>
        </w:tc>
        <w:tc>
          <w:tcPr>
            <w:tcW w:w="6506" w:type="dxa"/>
            <w:noWrap w:val="0"/>
            <w:vAlign w:val="center"/>
          </w:tcPr>
          <w:p w14:paraId="07513B92">
            <w:pPr>
              <w:pStyle w:val="8"/>
              <w:kinsoku w:val="0"/>
              <w:overflowPunct w:val="0"/>
              <w:ind w:firstLine="0" w:firstLineChars="0"/>
              <w:jc w:val="center"/>
              <w:rPr>
                <w:rFonts w:ascii="Arial" w:hAnsi="Arial" w:cs="Arial"/>
              </w:rPr>
            </w:pPr>
            <w:r>
              <w:rPr>
                <w:rFonts w:ascii="Arial" w:hAnsi="Arial" w:cs="Arial"/>
                <w:b/>
                <w:bCs/>
              </w:rPr>
              <w:t>评审标准</w:t>
            </w:r>
          </w:p>
        </w:tc>
      </w:tr>
      <w:tr w14:paraId="74B1D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noWrap w:val="0"/>
            <w:vAlign w:val="center"/>
          </w:tcPr>
          <w:p w14:paraId="75F2E12F">
            <w:pPr>
              <w:pStyle w:val="8"/>
              <w:kinsoku w:val="0"/>
              <w:overflowPunct w:val="0"/>
              <w:ind w:firstLine="0" w:firstLineChars="0"/>
              <w:jc w:val="center"/>
              <w:rPr>
                <w:rFonts w:ascii="Arial" w:hAnsi="Arial" w:cs="Arial"/>
                <w:b/>
                <w:bCs/>
                <w:sz w:val="10"/>
                <w:szCs w:val="10"/>
              </w:rPr>
            </w:pPr>
          </w:p>
          <w:p w14:paraId="22D5DE01">
            <w:pPr>
              <w:pStyle w:val="8"/>
              <w:kinsoku w:val="0"/>
              <w:overflowPunct w:val="0"/>
              <w:ind w:firstLine="0" w:firstLineChars="0"/>
              <w:jc w:val="center"/>
              <w:rPr>
                <w:rFonts w:ascii="Arial" w:hAnsi="Arial" w:cs="Arial"/>
              </w:rPr>
            </w:pPr>
            <w:r>
              <w:rPr>
                <w:rFonts w:ascii="Arial" w:hAnsi="Arial" w:cs="Arial"/>
              </w:rPr>
              <w:t>1</w:t>
            </w:r>
          </w:p>
        </w:tc>
        <w:tc>
          <w:tcPr>
            <w:tcW w:w="969" w:type="dxa"/>
            <w:noWrap w:val="0"/>
            <w:vAlign w:val="center"/>
          </w:tcPr>
          <w:p w14:paraId="1836FAD2">
            <w:pPr>
              <w:pStyle w:val="8"/>
              <w:kinsoku w:val="0"/>
              <w:overflowPunct w:val="0"/>
              <w:ind w:firstLine="0" w:firstLineChars="0"/>
              <w:jc w:val="center"/>
              <w:rPr>
                <w:rFonts w:ascii="Arial" w:hAnsi="Arial" w:cs="Arial"/>
              </w:rPr>
            </w:pPr>
            <w:r>
              <w:rPr>
                <w:rFonts w:ascii="Arial" w:hAnsi="Arial" w:cs="Arial"/>
              </w:rPr>
              <w:t>评标方法</w:t>
            </w:r>
          </w:p>
        </w:tc>
        <w:tc>
          <w:tcPr>
            <w:tcW w:w="1392" w:type="dxa"/>
            <w:noWrap w:val="0"/>
            <w:vAlign w:val="center"/>
          </w:tcPr>
          <w:p w14:paraId="4D649E9D">
            <w:pPr>
              <w:pStyle w:val="8"/>
              <w:kinsoku w:val="0"/>
              <w:overflowPunct w:val="0"/>
              <w:ind w:firstLine="0" w:firstLineChars="0"/>
              <w:jc w:val="center"/>
              <w:rPr>
                <w:rFonts w:ascii="Arial" w:hAnsi="Arial" w:cs="Arial"/>
              </w:rPr>
            </w:pPr>
            <w:r>
              <w:rPr>
                <w:rFonts w:ascii="Arial" w:hAnsi="Arial" w:cs="Arial"/>
              </w:rPr>
              <w:t>中标候选人排序方法</w:t>
            </w:r>
          </w:p>
        </w:tc>
        <w:tc>
          <w:tcPr>
            <w:tcW w:w="6506" w:type="dxa"/>
            <w:noWrap w:val="0"/>
            <w:vAlign w:val="center"/>
          </w:tcPr>
          <w:p w14:paraId="68D0A38D">
            <w:pPr>
              <w:ind w:firstLine="0" w:firstLineChars="0"/>
              <w:jc w:val="both"/>
              <w:rPr>
                <w:rFonts w:ascii="Arial" w:hAnsi="Arial" w:cs="Arial"/>
              </w:rPr>
            </w:pPr>
            <w:r>
              <w:rPr>
                <w:rFonts w:ascii="Arial" w:hAnsi="Arial" w:cs="Arial"/>
              </w:rPr>
              <w:t>如出现本章正文”1.评标办法”规定的情形时，由评标委员会采用投票方式确定。</w:t>
            </w:r>
          </w:p>
        </w:tc>
      </w:tr>
      <w:tr w14:paraId="7EFFD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5A304EFC">
            <w:pPr>
              <w:pStyle w:val="8"/>
              <w:kinsoku w:val="0"/>
              <w:overflowPunct w:val="0"/>
              <w:ind w:firstLine="0" w:firstLineChars="0"/>
              <w:jc w:val="center"/>
              <w:rPr>
                <w:rFonts w:ascii="Arial" w:hAnsi="Arial" w:cs="Arial"/>
              </w:rPr>
            </w:pPr>
            <w:r>
              <w:rPr>
                <w:rFonts w:ascii="Arial" w:hAnsi="Arial" w:cs="Arial"/>
              </w:rPr>
              <w:t>2.1.1</w:t>
            </w:r>
          </w:p>
        </w:tc>
        <w:tc>
          <w:tcPr>
            <w:tcW w:w="969" w:type="dxa"/>
            <w:vMerge w:val="restart"/>
            <w:noWrap w:val="0"/>
            <w:vAlign w:val="center"/>
          </w:tcPr>
          <w:p w14:paraId="0D028593">
            <w:pPr>
              <w:pStyle w:val="8"/>
              <w:kinsoku w:val="0"/>
              <w:overflowPunct w:val="0"/>
              <w:ind w:firstLine="0" w:firstLineChars="0"/>
              <w:jc w:val="center"/>
              <w:rPr>
                <w:rFonts w:ascii="Arial" w:hAnsi="Arial" w:cs="Arial"/>
              </w:rPr>
            </w:pPr>
            <w:r>
              <w:rPr>
                <w:rFonts w:ascii="Arial" w:hAnsi="Arial" w:cs="Arial"/>
              </w:rPr>
              <w:t>形式评审标准</w:t>
            </w:r>
          </w:p>
        </w:tc>
        <w:tc>
          <w:tcPr>
            <w:tcW w:w="1392" w:type="dxa"/>
            <w:noWrap w:val="0"/>
            <w:vAlign w:val="center"/>
          </w:tcPr>
          <w:p w14:paraId="45EC6ABD">
            <w:pPr>
              <w:pStyle w:val="8"/>
              <w:kinsoku w:val="0"/>
              <w:overflowPunct w:val="0"/>
              <w:ind w:firstLine="0" w:firstLineChars="0"/>
              <w:jc w:val="center"/>
              <w:rPr>
                <w:rFonts w:ascii="Arial" w:hAnsi="Arial" w:cs="Arial"/>
              </w:rPr>
            </w:pPr>
            <w:r>
              <w:rPr>
                <w:rFonts w:ascii="Arial" w:hAnsi="Arial" w:cs="Arial"/>
              </w:rPr>
              <w:t>投标人名称</w:t>
            </w:r>
          </w:p>
        </w:tc>
        <w:tc>
          <w:tcPr>
            <w:tcW w:w="6506" w:type="dxa"/>
            <w:noWrap w:val="0"/>
            <w:vAlign w:val="center"/>
          </w:tcPr>
          <w:p w14:paraId="329CEE64">
            <w:pPr>
              <w:pStyle w:val="8"/>
              <w:kinsoku w:val="0"/>
              <w:overflowPunct w:val="0"/>
              <w:ind w:firstLine="0" w:firstLineChars="0"/>
              <w:jc w:val="both"/>
              <w:rPr>
                <w:rFonts w:ascii="Arial" w:hAnsi="Arial" w:cs="Arial"/>
              </w:rPr>
            </w:pPr>
            <w:r>
              <w:rPr>
                <w:rFonts w:ascii="Arial" w:hAnsi="Arial" w:cs="Arial"/>
              </w:rPr>
              <w:t>与</w:t>
            </w:r>
            <w:r>
              <w:rPr>
                <w:rFonts w:hint="eastAsia" w:ascii="Arial" w:hAnsi="Arial" w:cs="Arial"/>
              </w:rPr>
              <w:t>营业执照或</w:t>
            </w:r>
            <w:r>
              <w:rPr>
                <w:rFonts w:ascii="Arial" w:hAnsi="Arial" w:cs="Arial"/>
              </w:rPr>
              <w:t>执业许可证一致</w:t>
            </w:r>
          </w:p>
        </w:tc>
      </w:tr>
      <w:tr w14:paraId="5624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F5CC57F">
            <w:pPr>
              <w:pStyle w:val="8"/>
              <w:kinsoku w:val="0"/>
              <w:overflowPunct w:val="0"/>
              <w:ind w:firstLine="0" w:firstLineChars="0"/>
              <w:jc w:val="center"/>
              <w:rPr>
                <w:rFonts w:ascii="Arial" w:hAnsi="Arial" w:cs="Arial"/>
              </w:rPr>
            </w:pPr>
          </w:p>
        </w:tc>
        <w:tc>
          <w:tcPr>
            <w:tcW w:w="969" w:type="dxa"/>
            <w:vMerge w:val="continue"/>
            <w:noWrap w:val="0"/>
            <w:vAlign w:val="center"/>
          </w:tcPr>
          <w:p w14:paraId="25F8DB9F">
            <w:pPr>
              <w:pStyle w:val="8"/>
              <w:kinsoku w:val="0"/>
              <w:overflowPunct w:val="0"/>
              <w:ind w:firstLine="0" w:firstLineChars="0"/>
              <w:jc w:val="center"/>
              <w:rPr>
                <w:rFonts w:ascii="Arial" w:hAnsi="Arial" w:cs="Arial"/>
              </w:rPr>
            </w:pPr>
          </w:p>
        </w:tc>
        <w:tc>
          <w:tcPr>
            <w:tcW w:w="1392" w:type="dxa"/>
            <w:noWrap w:val="0"/>
            <w:vAlign w:val="center"/>
          </w:tcPr>
          <w:p w14:paraId="4533050E">
            <w:pPr>
              <w:pStyle w:val="8"/>
              <w:kinsoku w:val="0"/>
              <w:overflowPunct w:val="0"/>
              <w:ind w:firstLine="0" w:firstLineChars="0"/>
              <w:jc w:val="center"/>
              <w:rPr>
                <w:rFonts w:ascii="Arial" w:hAnsi="Arial" w:cs="Arial"/>
              </w:rPr>
            </w:pPr>
            <w:r>
              <w:rPr>
                <w:rFonts w:ascii="Arial" w:hAnsi="Arial" w:cs="Arial"/>
                <w:spacing w:val="-2"/>
              </w:rPr>
              <w:t>投标函签</w:t>
            </w:r>
            <w:r>
              <w:rPr>
                <w:rFonts w:ascii="Arial" w:hAnsi="Arial" w:cs="Arial"/>
                <w:spacing w:val="-84"/>
              </w:rPr>
              <w:t xml:space="preserve"> </w:t>
            </w:r>
            <w:r>
              <w:rPr>
                <w:rFonts w:ascii="Arial" w:hAnsi="Arial" w:cs="Arial"/>
              </w:rPr>
              <w:t>字盖章</w:t>
            </w:r>
          </w:p>
        </w:tc>
        <w:tc>
          <w:tcPr>
            <w:tcW w:w="6506" w:type="dxa"/>
            <w:noWrap w:val="0"/>
            <w:vAlign w:val="center"/>
          </w:tcPr>
          <w:p w14:paraId="673C8FD4">
            <w:pPr>
              <w:ind w:firstLine="0" w:firstLineChars="0"/>
              <w:rPr>
                <w:rFonts w:ascii="Arial" w:hAnsi="Arial" w:cs="Arial"/>
              </w:rPr>
            </w:pPr>
            <w:r>
              <w:rPr>
                <w:rFonts w:ascii="Arial" w:hAnsi="Arial" w:cs="Arial"/>
              </w:rPr>
              <w:t>有法定代表人（单位负责人）或其委托代理人签字或签章，并加盖单位章。由法定代表人（单位负责人）签字或签章的，应附法定代表人（单位负责人）身份证明，由代理人签字的，应附授权委托书，身份证明或授权委托书应符合第六章“投标文件格式”的规定。</w:t>
            </w:r>
          </w:p>
        </w:tc>
      </w:tr>
      <w:tr w14:paraId="4140A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B0F7167">
            <w:pPr>
              <w:pStyle w:val="8"/>
              <w:kinsoku w:val="0"/>
              <w:overflowPunct w:val="0"/>
              <w:ind w:firstLine="0" w:firstLineChars="0"/>
              <w:jc w:val="center"/>
              <w:rPr>
                <w:rFonts w:ascii="Arial" w:hAnsi="Arial" w:cs="Arial"/>
              </w:rPr>
            </w:pPr>
          </w:p>
        </w:tc>
        <w:tc>
          <w:tcPr>
            <w:tcW w:w="969" w:type="dxa"/>
            <w:vMerge w:val="continue"/>
            <w:noWrap w:val="0"/>
            <w:vAlign w:val="center"/>
          </w:tcPr>
          <w:p w14:paraId="6B098BF8">
            <w:pPr>
              <w:pStyle w:val="8"/>
              <w:kinsoku w:val="0"/>
              <w:overflowPunct w:val="0"/>
              <w:ind w:firstLine="0" w:firstLineChars="0"/>
              <w:jc w:val="center"/>
              <w:rPr>
                <w:rFonts w:ascii="Arial" w:hAnsi="Arial" w:cs="Arial"/>
              </w:rPr>
            </w:pPr>
          </w:p>
        </w:tc>
        <w:tc>
          <w:tcPr>
            <w:tcW w:w="1392" w:type="dxa"/>
            <w:noWrap w:val="0"/>
            <w:vAlign w:val="center"/>
          </w:tcPr>
          <w:p w14:paraId="139809E0">
            <w:pPr>
              <w:pStyle w:val="8"/>
              <w:kinsoku w:val="0"/>
              <w:overflowPunct w:val="0"/>
              <w:ind w:firstLine="0" w:firstLineChars="0"/>
              <w:jc w:val="center"/>
              <w:rPr>
                <w:rFonts w:ascii="Arial" w:hAnsi="Arial" w:cs="Arial"/>
              </w:rPr>
            </w:pPr>
            <w:r>
              <w:rPr>
                <w:rFonts w:ascii="Arial" w:hAnsi="Arial" w:cs="Arial"/>
              </w:rPr>
              <w:t>投标文件格式</w:t>
            </w:r>
          </w:p>
        </w:tc>
        <w:tc>
          <w:tcPr>
            <w:tcW w:w="6506" w:type="dxa"/>
            <w:noWrap w:val="0"/>
            <w:vAlign w:val="center"/>
          </w:tcPr>
          <w:p w14:paraId="2489B856">
            <w:pPr>
              <w:pStyle w:val="8"/>
              <w:kinsoku w:val="0"/>
              <w:overflowPunct w:val="0"/>
              <w:ind w:firstLine="0" w:firstLineChars="0"/>
              <w:jc w:val="both"/>
              <w:rPr>
                <w:rFonts w:ascii="Arial" w:hAnsi="Arial" w:cs="Arial"/>
              </w:rPr>
            </w:pPr>
            <w:r>
              <w:rPr>
                <w:rFonts w:ascii="Arial" w:hAnsi="Arial" w:cs="Arial"/>
              </w:rPr>
              <w:t>符合第六章“投标文件格式”的规定</w:t>
            </w:r>
          </w:p>
        </w:tc>
      </w:tr>
      <w:tr w14:paraId="4884E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92EAA9F">
            <w:pPr>
              <w:pStyle w:val="8"/>
              <w:kinsoku w:val="0"/>
              <w:overflowPunct w:val="0"/>
              <w:ind w:firstLine="0" w:firstLineChars="0"/>
              <w:jc w:val="center"/>
              <w:rPr>
                <w:rFonts w:ascii="Arial" w:hAnsi="Arial" w:cs="Arial"/>
              </w:rPr>
            </w:pPr>
          </w:p>
        </w:tc>
        <w:tc>
          <w:tcPr>
            <w:tcW w:w="969" w:type="dxa"/>
            <w:vMerge w:val="continue"/>
            <w:noWrap w:val="0"/>
            <w:vAlign w:val="center"/>
          </w:tcPr>
          <w:p w14:paraId="27507D3A">
            <w:pPr>
              <w:pStyle w:val="8"/>
              <w:kinsoku w:val="0"/>
              <w:overflowPunct w:val="0"/>
              <w:ind w:firstLine="0" w:firstLineChars="0"/>
              <w:jc w:val="center"/>
              <w:rPr>
                <w:rFonts w:ascii="Arial" w:hAnsi="Arial" w:cs="Arial"/>
              </w:rPr>
            </w:pPr>
          </w:p>
        </w:tc>
        <w:tc>
          <w:tcPr>
            <w:tcW w:w="1392" w:type="dxa"/>
            <w:noWrap w:val="0"/>
            <w:vAlign w:val="center"/>
          </w:tcPr>
          <w:p w14:paraId="34AFB919">
            <w:pPr>
              <w:pStyle w:val="8"/>
              <w:kinsoku w:val="0"/>
              <w:overflowPunct w:val="0"/>
              <w:ind w:firstLine="0" w:firstLineChars="0"/>
              <w:jc w:val="center"/>
              <w:rPr>
                <w:rFonts w:ascii="Arial" w:hAnsi="Arial" w:cs="Arial"/>
              </w:rPr>
            </w:pPr>
            <w:r>
              <w:rPr>
                <w:rFonts w:ascii="Arial" w:hAnsi="Arial" w:cs="Arial"/>
              </w:rPr>
              <w:t>备选投标方案</w:t>
            </w:r>
          </w:p>
        </w:tc>
        <w:tc>
          <w:tcPr>
            <w:tcW w:w="6506" w:type="dxa"/>
            <w:noWrap w:val="0"/>
            <w:vAlign w:val="center"/>
          </w:tcPr>
          <w:p w14:paraId="743A072E">
            <w:pPr>
              <w:pStyle w:val="8"/>
              <w:kinsoku w:val="0"/>
              <w:overflowPunct w:val="0"/>
              <w:ind w:firstLine="0" w:firstLineChars="0"/>
              <w:jc w:val="both"/>
              <w:rPr>
                <w:rFonts w:ascii="Arial" w:hAnsi="Arial" w:cs="Arial"/>
              </w:rPr>
            </w:pPr>
            <w:r>
              <w:rPr>
                <w:rFonts w:ascii="Arial" w:hAnsi="Arial" w:cs="Arial"/>
              </w:rPr>
              <w:t>除招标文件明确允许提交备选投标方案外，投标人不得提交备选投标方案</w:t>
            </w:r>
          </w:p>
        </w:tc>
      </w:tr>
      <w:tr w14:paraId="4D47A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72F25A00">
            <w:pPr>
              <w:pStyle w:val="8"/>
              <w:kinsoku w:val="0"/>
              <w:overflowPunct w:val="0"/>
              <w:ind w:firstLine="0" w:firstLineChars="0"/>
              <w:jc w:val="center"/>
              <w:rPr>
                <w:rFonts w:ascii="Arial" w:hAnsi="Arial" w:cs="Arial"/>
              </w:rPr>
            </w:pPr>
          </w:p>
        </w:tc>
        <w:tc>
          <w:tcPr>
            <w:tcW w:w="969" w:type="dxa"/>
            <w:vMerge w:val="continue"/>
            <w:noWrap w:val="0"/>
            <w:vAlign w:val="center"/>
          </w:tcPr>
          <w:p w14:paraId="1BFDC818">
            <w:pPr>
              <w:pStyle w:val="8"/>
              <w:kinsoku w:val="0"/>
              <w:overflowPunct w:val="0"/>
              <w:ind w:firstLine="0" w:firstLineChars="0"/>
              <w:jc w:val="center"/>
              <w:rPr>
                <w:rFonts w:ascii="Arial" w:hAnsi="Arial" w:cs="Arial"/>
              </w:rPr>
            </w:pPr>
          </w:p>
        </w:tc>
        <w:tc>
          <w:tcPr>
            <w:tcW w:w="1392" w:type="dxa"/>
            <w:noWrap w:val="0"/>
            <w:vAlign w:val="center"/>
          </w:tcPr>
          <w:p w14:paraId="0D9B2A8B">
            <w:pPr>
              <w:ind w:firstLine="0" w:firstLineChars="0"/>
              <w:jc w:val="center"/>
              <w:rPr>
                <w:rFonts w:ascii="Arial" w:hAnsi="Arial" w:cs="Arial"/>
              </w:rPr>
            </w:pPr>
            <w:r>
              <w:rPr>
                <w:rFonts w:ascii="Arial" w:hAnsi="Arial" w:cs="Arial"/>
              </w:rPr>
              <w:t>报价唯一</w:t>
            </w:r>
          </w:p>
        </w:tc>
        <w:tc>
          <w:tcPr>
            <w:tcW w:w="6506" w:type="dxa"/>
            <w:noWrap w:val="0"/>
            <w:vAlign w:val="center"/>
          </w:tcPr>
          <w:p w14:paraId="08E648DB">
            <w:pPr>
              <w:ind w:firstLine="0" w:firstLineChars="0"/>
              <w:rPr>
                <w:rFonts w:ascii="Arial" w:hAnsi="Arial" w:cs="Arial"/>
              </w:rPr>
            </w:pPr>
            <w:r>
              <w:rPr>
                <w:rFonts w:ascii="Arial" w:hAnsi="Arial" w:cs="Arial"/>
              </w:rPr>
              <w:t>只能有一个有效报价</w:t>
            </w:r>
          </w:p>
        </w:tc>
      </w:tr>
      <w:tr w14:paraId="647EC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309E8FBA">
            <w:pPr>
              <w:pStyle w:val="8"/>
              <w:kinsoku w:val="0"/>
              <w:overflowPunct w:val="0"/>
              <w:ind w:firstLine="0" w:firstLineChars="0"/>
              <w:jc w:val="center"/>
              <w:rPr>
                <w:rFonts w:ascii="Arial" w:hAnsi="Arial" w:cs="Arial"/>
              </w:rPr>
            </w:pPr>
            <w:r>
              <w:rPr>
                <w:rFonts w:ascii="Arial" w:hAnsi="Arial" w:cs="Arial"/>
              </w:rPr>
              <w:t>2.1.2</w:t>
            </w:r>
          </w:p>
        </w:tc>
        <w:tc>
          <w:tcPr>
            <w:tcW w:w="969" w:type="dxa"/>
            <w:vMerge w:val="restart"/>
            <w:noWrap w:val="0"/>
            <w:vAlign w:val="center"/>
          </w:tcPr>
          <w:p w14:paraId="10603D4B">
            <w:pPr>
              <w:pStyle w:val="8"/>
              <w:kinsoku w:val="0"/>
              <w:overflowPunct w:val="0"/>
              <w:ind w:firstLine="0" w:firstLineChars="0"/>
              <w:jc w:val="center"/>
              <w:rPr>
                <w:rFonts w:ascii="Arial" w:hAnsi="Arial" w:cs="Arial"/>
              </w:rPr>
            </w:pPr>
            <w:r>
              <w:rPr>
                <w:rFonts w:ascii="Arial" w:hAnsi="Arial" w:cs="Arial"/>
              </w:rPr>
              <w:t>资格评审标准</w:t>
            </w:r>
          </w:p>
        </w:tc>
        <w:tc>
          <w:tcPr>
            <w:tcW w:w="1392" w:type="dxa"/>
            <w:vMerge w:val="restart"/>
            <w:noWrap w:val="0"/>
            <w:vAlign w:val="center"/>
          </w:tcPr>
          <w:p w14:paraId="52EB4288">
            <w:pPr>
              <w:pStyle w:val="8"/>
              <w:kinsoku w:val="0"/>
              <w:overflowPunct w:val="0"/>
              <w:ind w:firstLine="0" w:firstLineChars="0"/>
              <w:jc w:val="center"/>
              <w:rPr>
                <w:rFonts w:ascii="Arial" w:hAnsi="Arial" w:cs="Arial"/>
              </w:rPr>
            </w:pPr>
            <w:r>
              <w:rPr>
                <w:rFonts w:hint="eastAsia" w:ascii="Arial" w:hAnsi="Arial" w:cs="Arial"/>
              </w:rPr>
              <w:t>投标人资格条件</w:t>
            </w:r>
          </w:p>
        </w:tc>
        <w:tc>
          <w:tcPr>
            <w:tcW w:w="6506" w:type="dxa"/>
            <w:noWrap w:val="0"/>
            <w:vAlign w:val="center"/>
          </w:tcPr>
          <w:p w14:paraId="2AA1581D">
            <w:pPr>
              <w:pStyle w:val="8"/>
              <w:kinsoku w:val="0"/>
              <w:overflowPunct w:val="0"/>
              <w:ind w:firstLine="0" w:firstLineChars="0"/>
              <w:jc w:val="both"/>
              <w:rPr>
                <w:rFonts w:ascii="Arial" w:hAnsi="Arial" w:cs="Arial"/>
              </w:rPr>
            </w:pPr>
            <w:r>
              <w:rPr>
                <w:rFonts w:hint="eastAsia" w:ascii="Arial" w:hAnsi="Arial" w:cs="Arial"/>
              </w:rPr>
              <w:t>在中国境内依法注册成立3年及以上，由有限责任制转为特殊的普通合伙制或普通合伙制的会计师事务所，延续转制前的经营年限；（营业执照或执业证书复印件加盖投标单位公章）</w:t>
            </w:r>
          </w:p>
        </w:tc>
      </w:tr>
      <w:tr w14:paraId="5D1B3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0EB8A940">
            <w:pPr>
              <w:pStyle w:val="8"/>
              <w:kinsoku w:val="0"/>
              <w:overflowPunct w:val="0"/>
              <w:ind w:firstLine="0" w:firstLineChars="0"/>
              <w:jc w:val="center"/>
              <w:rPr>
                <w:rFonts w:ascii="Arial" w:hAnsi="Arial" w:cs="Arial"/>
              </w:rPr>
            </w:pPr>
          </w:p>
        </w:tc>
        <w:tc>
          <w:tcPr>
            <w:tcW w:w="969" w:type="dxa"/>
            <w:vMerge w:val="continue"/>
            <w:noWrap w:val="0"/>
            <w:vAlign w:val="center"/>
          </w:tcPr>
          <w:p w14:paraId="0D9017E4">
            <w:pPr>
              <w:pStyle w:val="8"/>
              <w:kinsoku w:val="0"/>
              <w:overflowPunct w:val="0"/>
              <w:ind w:firstLine="0" w:firstLineChars="0"/>
              <w:jc w:val="center"/>
              <w:rPr>
                <w:rFonts w:ascii="Arial" w:hAnsi="Arial" w:cs="Arial"/>
              </w:rPr>
            </w:pPr>
          </w:p>
        </w:tc>
        <w:tc>
          <w:tcPr>
            <w:tcW w:w="1392" w:type="dxa"/>
            <w:vMerge w:val="continue"/>
            <w:noWrap w:val="0"/>
            <w:vAlign w:val="center"/>
          </w:tcPr>
          <w:p w14:paraId="4231C33D">
            <w:pPr>
              <w:pStyle w:val="8"/>
              <w:kinsoku w:val="0"/>
              <w:overflowPunct w:val="0"/>
              <w:ind w:firstLine="0" w:firstLineChars="0"/>
              <w:jc w:val="center"/>
              <w:rPr>
                <w:rFonts w:ascii="Arial" w:hAnsi="Arial" w:cs="Arial"/>
              </w:rPr>
            </w:pPr>
          </w:p>
        </w:tc>
        <w:tc>
          <w:tcPr>
            <w:tcW w:w="6506" w:type="dxa"/>
            <w:noWrap w:val="0"/>
            <w:vAlign w:val="center"/>
          </w:tcPr>
          <w:p w14:paraId="1A51C791">
            <w:pPr>
              <w:pStyle w:val="8"/>
              <w:kinsoku w:val="0"/>
              <w:overflowPunct w:val="0"/>
              <w:ind w:firstLine="0" w:firstLineChars="0"/>
              <w:jc w:val="both"/>
              <w:rPr>
                <w:rFonts w:ascii="Arial" w:hAnsi="Arial" w:cs="Arial"/>
              </w:rPr>
            </w:pPr>
            <w:r>
              <w:rPr>
                <w:rFonts w:hint="eastAsia" w:ascii="Arial" w:hAnsi="Arial" w:cs="Arial"/>
              </w:rPr>
              <w:t>具有固定的工作场所，组织机构健全，内部管理和控制制度较为完善并且执行有效；（自行声明、原件）</w:t>
            </w:r>
          </w:p>
        </w:tc>
      </w:tr>
      <w:tr w14:paraId="5E20D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3B4CD43D">
            <w:pPr>
              <w:pStyle w:val="8"/>
              <w:kinsoku w:val="0"/>
              <w:overflowPunct w:val="0"/>
              <w:ind w:firstLine="0" w:firstLineChars="0"/>
              <w:jc w:val="center"/>
              <w:rPr>
                <w:rFonts w:ascii="Arial" w:hAnsi="Arial" w:cs="Arial"/>
              </w:rPr>
            </w:pPr>
          </w:p>
        </w:tc>
        <w:tc>
          <w:tcPr>
            <w:tcW w:w="969" w:type="dxa"/>
            <w:vMerge w:val="continue"/>
            <w:noWrap w:val="0"/>
            <w:vAlign w:val="center"/>
          </w:tcPr>
          <w:p w14:paraId="28004B37">
            <w:pPr>
              <w:pStyle w:val="8"/>
              <w:kinsoku w:val="0"/>
              <w:overflowPunct w:val="0"/>
              <w:ind w:firstLine="0" w:firstLineChars="0"/>
              <w:jc w:val="center"/>
              <w:rPr>
                <w:rFonts w:ascii="Arial" w:hAnsi="Arial" w:cs="Arial"/>
              </w:rPr>
            </w:pPr>
          </w:p>
        </w:tc>
        <w:tc>
          <w:tcPr>
            <w:tcW w:w="1392" w:type="dxa"/>
            <w:vMerge w:val="continue"/>
            <w:noWrap w:val="0"/>
            <w:vAlign w:val="center"/>
          </w:tcPr>
          <w:p w14:paraId="185E7ED1">
            <w:pPr>
              <w:pStyle w:val="8"/>
              <w:kinsoku w:val="0"/>
              <w:overflowPunct w:val="0"/>
              <w:ind w:firstLine="0" w:firstLineChars="0"/>
              <w:jc w:val="center"/>
              <w:rPr>
                <w:rFonts w:ascii="Arial" w:hAnsi="Arial" w:cs="Arial"/>
              </w:rPr>
            </w:pPr>
          </w:p>
        </w:tc>
        <w:tc>
          <w:tcPr>
            <w:tcW w:w="6506" w:type="dxa"/>
            <w:noWrap w:val="0"/>
            <w:vAlign w:val="center"/>
          </w:tcPr>
          <w:p w14:paraId="3294D846">
            <w:pPr>
              <w:pStyle w:val="8"/>
              <w:kinsoku w:val="0"/>
              <w:overflowPunct w:val="0"/>
              <w:ind w:firstLine="0" w:firstLineChars="0"/>
              <w:jc w:val="both"/>
              <w:rPr>
                <w:rFonts w:ascii="Arial" w:hAnsi="Arial" w:cs="Arial"/>
              </w:rPr>
            </w:pPr>
            <w:r>
              <w:rPr>
                <w:rFonts w:hint="eastAsia" w:ascii="Arial" w:hAnsi="Arial" w:cs="Arial"/>
              </w:rPr>
              <w:t>具有良好的执业质量记录，按时保质完成审计工作任务，在审计工作中没有出现重大审计质量问题和不良记录，具备承担相应审计风险的能力；（自行声明、原件）</w:t>
            </w:r>
          </w:p>
        </w:tc>
      </w:tr>
      <w:tr w14:paraId="000A2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D329AEF">
            <w:pPr>
              <w:pStyle w:val="8"/>
              <w:kinsoku w:val="0"/>
              <w:overflowPunct w:val="0"/>
              <w:ind w:firstLine="0" w:firstLineChars="0"/>
              <w:jc w:val="center"/>
              <w:rPr>
                <w:rFonts w:ascii="Arial" w:hAnsi="Arial" w:cs="Arial"/>
              </w:rPr>
            </w:pPr>
          </w:p>
        </w:tc>
        <w:tc>
          <w:tcPr>
            <w:tcW w:w="969" w:type="dxa"/>
            <w:vMerge w:val="continue"/>
            <w:noWrap w:val="0"/>
            <w:vAlign w:val="center"/>
          </w:tcPr>
          <w:p w14:paraId="0A8C38DB">
            <w:pPr>
              <w:pStyle w:val="8"/>
              <w:kinsoku w:val="0"/>
              <w:overflowPunct w:val="0"/>
              <w:ind w:firstLine="0" w:firstLineChars="0"/>
              <w:jc w:val="center"/>
              <w:rPr>
                <w:rFonts w:ascii="Arial" w:hAnsi="Arial" w:cs="Arial"/>
              </w:rPr>
            </w:pPr>
          </w:p>
        </w:tc>
        <w:tc>
          <w:tcPr>
            <w:tcW w:w="1392" w:type="dxa"/>
            <w:vMerge w:val="continue"/>
            <w:noWrap w:val="0"/>
            <w:vAlign w:val="center"/>
          </w:tcPr>
          <w:p w14:paraId="3D78D9D1">
            <w:pPr>
              <w:pStyle w:val="8"/>
              <w:kinsoku w:val="0"/>
              <w:overflowPunct w:val="0"/>
              <w:ind w:firstLine="0" w:firstLineChars="0"/>
              <w:jc w:val="center"/>
              <w:rPr>
                <w:rFonts w:ascii="Arial" w:hAnsi="Arial" w:cs="Arial"/>
              </w:rPr>
            </w:pPr>
          </w:p>
        </w:tc>
        <w:tc>
          <w:tcPr>
            <w:tcW w:w="6506" w:type="dxa"/>
            <w:noWrap w:val="0"/>
            <w:vAlign w:val="center"/>
          </w:tcPr>
          <w:p w14:paraId="5D4E2701">
            <w:pPr>
              <w:pStyle w:val="8"/>
              <w:kinsoku w:val="0"/>
              <w:overflowPunct w:val="0"/>
              <w:ind w:firstLine="0" w:firstLineChars="0"/>
              <w:jc w:val="both"/>
              <w:rPr>
                <w:rFonts w:ascii="Arial" w:hAnsi="Arial" w:cs="Arial"/>
              </w:rPr>
            </w:pPr>
            <w:r>
              <w:rPr>
                <w:rFonts w:hint="eastAsia" w:ascii="Arial" w:hAnsi="Arial" w:cs="Arial"/>
              </w:rPr>
              <w:t>具有良好的职业记录和社会声誉，认真执行有关财务审计的法律、法规和政策规定；（自行声明、原件）</w:t>
            </w:r>
          </w:p>
        </w:tc>
      </w:tr>
      <w:tr w14:paraId="7C96C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4196EFAC">
            <w:pPr>
              <w:pStyle w:val="8"/>
              <w:kinsoku w:val="0"/>
              <w:overflowPunct w:val="0"/>
              <w:ind w:firstLine="0" w:firstLineChars="0"/>
              <w:jc w:val="center"/>
              <w:rPr>
                <w:rFonts w:ascii="Arial" w:hAnsi="Arial" w:cs="Arial"/>
              </w:rPr>
            </w:pPr>
          </w:p>
        </w:tc>
        <w:tc>
          <w:tcPr>
            <w:tcW w:w="969" w:type="dxa"/>
            <w:vMerge w:val="continue"/>
            <w:noWrap w:val="0"/>
            <w:vAlign w:val="center"/>
          </w:tcPr>
          <w:p w14:paraId="5B54A194">
            <w:pPr>
              <w:pStyle w:val="8"/>
              <w:kinsoku w:val="0"/>
              <w:overflowPunct w:val="0"/>
              <w:ind w:firstLine="0" w:firstLineChars="0"/>
              <w:jc w:val="center"/>
              <w:rPr>
                <w:rFonts w:ascii="Arial" w:hAnsi="Arial" w:cs="Arial"/>
              </w:rPr>
            </w:pPr>
          </w:p>
        </w:tc>
        <w:tc>
          <w:tcPr>
            <w:tcW w:w="1392" w:type="dxa"/>
            <w:vMerge w:val="continue"/>
            <w:noWrap w:val="0"/>
            <w:vAlign w:val="center"/>
          </w:tcPr>
          <w:p w14:paraId="3429B3E3">
            <w:pPr>
              <w:pStyle w:val="8"/>
              <w:kinsoku w:val="0"/>
              <w:overflowPunct w:val="0"/>
              <w:ind w:firstLine="0" w:firstLineChars="0"/>
              <w:jc w:val="center"/>
              <w:rPr>
                <w:rFonts w:ascii="Arial" w:hAnsi="Arial" w:cs="Arial"/>
              </w:rPr>
            </w:pPr>
          </w:p>
        </w:tc>
        <w:tc>
          <w:tcPr>
            <w:tcW w:w="6506" w:type="dxa"/>
            <w:noWrap w:val="0"/>
            <w:vAlign w:val="center"/>
          </w:tcPr>
          <w:p w14:paraId="293D7358">
            <w:pPr>
              <w:pStyle w:val="8"/>
              <w:kinsoku w:val="0"/>
              <w:overflowPunct w:val="0"/>
              <w:ind w:firstLine="0" w:firstLineChars="0"/>
              <w:jc w:val="both"/>
              <w:rPr>
                <w:rFonts w:ascii="Arial" w:hAnsi="Arial" w:cs="Arial"/>
              </w:rPr>
            </w:pPr>
            <w:r>
              <w:rPr>
                <w:rFonts w:hint="eastAsia" w:ascii="Arial" w:hAnsi="Arial" w:cs="Arial"/>
              </w:rPr>
              <w:t>能够保守被审计金融企业的商业秘密，维护国家金融信息安全；（提供承诺函、原件）</w:t>
            </w:r>
          </w:p>
        </w:tc>
      </w:tr>
      <w:tr w14:paraId="1D578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DCAE840">
            <w:pPr>
              <w:pStyle w:val="8"/>
              <w:kinsoku w:val="0"/>
              <w:overflowPunct w:val="0"/>
              <w:ind w:firstLine="0" w:firstLineChars="0"/>
              <w:jc w:val="center"/>
              <w:rPr>
                <w:rFonts w:ascii="Arial" w:hAnsi="Arial" w:cs="Arial"/>
              </w:rPr>
            </w:pPr>
          </w:p>
        </w:tc>
        <w:tc>
          <w:tcPr>
            <w:tcW w:w="969" w:type="dxa"/>
            <w:vMerge w:val="continue"/>
            <w:noWrap w:val="0"/>
            <w:vAlign w:val="center"/>
          </w:tcPr>
          <w:p w14:paraId="0C06FFC9">
            <w:pPr>
              <w:pStyle w:val="8"/>
              <w:kinsoku w:val="0"/>
              <w:overflowPunct w:val="0"/>
              <w:ind w:firstLine="0" w:firstLineChars="0"/>
              <w:jc w:val="center"/>
              <w:rPr>
                <w:rFonts w:ascii="Arial" w:hAnsi="Arial" w:cs="Arial"/>
              </w:rPr>
            </w:pPr>
          </w:p>
        </w:tc>
        <w:tc>
          <w:tcPr>
            <w:tcW w:w="1392" w:type="dxa"/>
            <w:vMerge w:val="continue"/>
            <w:noWrap w:val="0"/>
            <w:vAlign w:val="center"/>
          </w:tcPr>
          <w:p w14:paraId="47D2D9EF">
            <w:pPr>
              <w:pStyle w:val="8"/>
              <w:kinsoku w:val="0"/>
              <w:overflowPunct w:val="0"/>
              <w:ind w:firstLine="0" w:firstLineChars="0"/>
              <w:jc w:val="center"/>
              <w:rPr>
                <w:rFonts w:ascii="Arial" w:hAnsi="Arial" w:cs="Arial"/>
              </w:rPr>
            </w:pPr>
          </w:p>
        </w:tc>
        <w:tc>
          <w:tcPr>
            <w:tcW w:w="6506" w:type="dxa"/>
            <w:noWrap w:val="0"/>
            <w:vAlign w:val="center"/>
          </w:tcPr>
          <w:p w14:paraId="62A1CE28">
            <w:pPr>
              <w:pStyle w:val="8"/>
              <w:kinsoku w:val="0"/>
              <w:overflowPunct w:val="0"/>
              <w:ind w:firstLine="0" w:firstLineChars="0"/>
              <w:jc w:val="both"/>
              <w:rPr>
                <w:rFonts w:ascii="Arial" w:hAnsi="Arial" w:cs="Arial"/>
              </w:rPr>
            </w:pPr>
            <w:r>
              <w:rPr>
                <w:rFonts w:hint="eastAsia" w:ascii="Arial" w:hAnsi="Arial" w:cs="Arial"/>
              </w:rPr>
              <w:t>财政部规定的其他条件；（提供承诺函、原件）</w:t>
            </w:r>
          </w:p>
        </w:tc>
      </w:tr>
      <w:tr w14:paraId="640A7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8AB2138">
            <w:pPr>
              <w:pStyle w:val="8"/>
              <w:kinsoku w:val="0"/>
              <w:overflowPunct w:val="0"/>
              <w:ind w:firstLine="0" w:firstLineChars="0"/>
              <w:jc w:val="center"/>
              <w:rPr>
                <w:rFonts w:ascii="Arial" w:hAnsi="Arial" w:cs="Arial"/>
              </w:rPr>
            </w:pPr>
          </w:p>
        </w:tc>
        <w:tc>
          <w:tcPr>
            <w:tcW w:w="969" w:type="dxa"/>
            <w:vMerge w:val="continue"/>
            <w:noWrap w:val="0"/>
            <w:vAlign w:val="center"/>
          </w:tcPr>
          <w:p w14:paraId="434B78C4">
            <w:pPr>
              <w:pStyle w:val="8"/>
              <w:kinsoku w:val="0"/>
              <w:overflowPunct w:val="0"/>
              <w:ind w:firstLine="0" w:firstLineChars="0"/>
              <w:jc w:val="center"/>
              <w:rPr>
                <w:rFonts w:ascii="Arial" w:hAnsi="Arial" w:cs="Arial"/>
              </w:rPr>
            </w:pPr>
          </w:p>
        </w:tc>
        <w:tc>
          <w:tcPr>
            <w:tcW w:w="1392" w:type="dxa"/>
            <w:vMerge w:val="continue"/>
            <w:noWrap w:val="0"/>
            <w:vAlign w:val="center"/>
          </w:tcPr>
          <w:p w14:paraId="71D1B199">
            <w:pPr>
              <w:pStyle w:val="8"/>
              <w:kinsoku w:val="0"/>
              <w:overflowPunct w:val="0"/>
              <w:ind w:firstLine="0" w:firstLineChars="0"/>
              <w:jc w:val="center"/>
              <w:rPr>
                <w:rFonts w:ascii="Arial" w:hAnsi="Arial" w:cs="Arial"/>
              </w:rPr>
            </w:pPr>
          </w:p>
        </w:tc>
        <w:tc>
          <w:tcPr>
            <w:tcW w:w="6506" w:type="dxa"/>
            <w:noWrap w:val="0"/>
            <w:vAlign w:val="center"/>
          </w:tcPr>
          <w:p w14:paraId="4971DFB4">
            <w:pPr>
              <w:pStyle w:val="8"/>
              <w:kinsoku w:val="0"/>
              <w:overflowPunct w:val="0"/>
              <w:ind w:firstLine="0" w:firstLineChars="0"/>
              <w:jc w:val="both"/>
              <w:rPr>
                <w:rFonts w:hint="eastAsia" w:ascii="Arial" w:hAnsi="Arial" w:cs="Arial"/>
                <w:color w:val="000000"/>
              </w:rPr>
            </w:pPr>
            <w:r>
              <w:rPr>
                <w:rFonts w:hint="eastAsia" w:ascii="Arial" w:hAnsi="Arial" w:cs="Arial"/>
                <w:color w:val="000000"/>
              </w:rPr>
              <w:t>投标人不得存在下列情形之一（提供承诺函、原件）：</w:t>
            </w:r>
          </w:p>
          <w:p w14:paraId="3C603A71">
            <w:pPr>
              <w:pStyle w:val="8"/>
              <w:kinsoku w:val="0"/>
              <w:overflowPunct w:val="0"/>
              <w:ind w:firstLine="0" w:firstLineChars="0"/>
              <w:jc w:val="both"/>
              <w:rPr>
                <w:rFonts w:hint="eastAsia" w:ascii="Arial" w:hAnsi="Arial" w:cs="Arial"/>
                <w:color w:val="000000"/>
              </w:rPr>
            </w:pPr>
            <w:r>
              <w:rPr>
                <w:rFonts w:hint="eastAsia" w:ascii="Arial" w:hAnsi="Arial" w:cs="Arial"/>
                <w:color w:val="000000"/>
              </w:rPr>
              <w:t>（1）近3年内因违法违规行为被财政部、省级财政部门给予没收违法所得、罚款、暂停执行部分业务等行政处罚；</w:t>
            </w:r>
          </w:p>
          <w:p w14:paraId="26ECAA51">
            <w:pPr>
              <w:pStyle w:val="8"/>
              <w:kinsoku w:val="0"/>
              <w:overflowPunct w:val="0"/>
              <w:ind w:firstLine="0" w:firstLineChars="0"/>
              <w:jc w:val="both"/>
              <w:rPr>
                <w:rFonts w:hint="eastAsia" w:ascii="Arial" w:hAnsi="Arial" w:cs="Arial"/>
                <w:color w:val="000000"/>
              </w:rPr>
            </w:pPr>
            <w:r>
              <w:rPr>
                <w:rFonts w:hint="eastAsia" w:ascii="Arial" w:hAnsi="Arial" w:cs="Arial"/>
                <w:color w:val="000000"/>
              </w:rPr>
              <w:t>（2）近3年内被财政部、省级财政部门给予警告两次以上；</w:t>
            </w:r>
          </w:p>
          <w:p w14:paraId="31C77CCA">
            <w:pPr>
              <w:pStyle w:val="8"/>
              <w:kinsoku w:val="0"/>
              <w:overflowPunct w:val="0"/>
              <w:ind w:firstLine="0" w:firstLineChars="0"/>
              <w:jc w:val="both"/>
              <w:rPr>
                <w:rFonts w:hint="eastAsia" w:ascii="Arial" w:hAnsi="Arial" w:cs="Arial"/>
                <w:color w:val="000000"/>
              </w:rPr>
            </w:pPr>
            <w:r>
              <w:rPr>
                <w:rFonts w:hint="eastAsia" w:ascii="Arial" w:hAnsi="Arial" w:cs="Arial"/>
                <w:color w:val="000000"/>
              </w:rPr>
              <w:t>（3）近3年内负责审计的金融企业存在重大资产损失、重大财务造假行为、金融企业或其负责人存在重大违法违规行为，会计师事务所已发现但未按照《中国注册会计师审计准则》和《中国注册会计师职业道德守则》相关规定履行关注、识别、评价等审计程序，或未按上述规定履行向金融企业审计委员会、董事会、监事会，或股东、同级财政部门、金融监管部门报告的；</w:t>
            </w:r>
          </w:p>
          <w:p w14:paraId="625FD5B2">
            <w:pPr>
              <w:pStyle w:val="8"/>
              <w:kinsoku w:val="0"/>
              <w:overflowPunct w:val="0"/>
              <w:ind w:firstLine="0" w:firstLineChars="0"/>
              <w:jc w:val="both"/>
              <w:rPr>
                <w:rFonts w:ascii="Arial" w:hAnsi="Arial" w:cs="Arial"/>
                <w:color w:val="FF0000"/>
              </w:rPr>
            </w:pPr>
            <w:r>
              <w:rPr>
                <w:rFonts w:hint="eastAsia" w:ascii="Arial" w:hAnsi="Arial" w:cs="Arial"/>
                <w:color w:val="000000"/>
              </w:rPr>
              <w:t>（4）财政部、省级财政部门根据会计师事务所执业质量，明确其不适合承担金融企业审计工作。</w:t>
            </w:r>
          </w:p>
        </w:tc>
      </w:tr>
      <w:tr w14:paraId="0C037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74887D0F">
            <w:pPr>
              <w:pStyle w:val="8"/>
              <w:kinsoku w:val="0"/>
              <w:overflowPunct w:val="0"/>
              <w:ind w:firstLine="0" w:firstLineChars="0"/>
              <w:jc w:val="center"/>
              <w:rPr>
                <w:rFonts w:ascii="Arial" w:hAnsi="Arial" w:cs="Arial"/>
              </w:rPr>
            </w:pPr>
          </w:p>
        </w:tc>
        <w:tc>
          <w:tcPr>
            <w:tcW w:w="969" w:type="dxa"/>
            <w:vMerge w:val="continue"/>
            <w:noWrap w:val="0"/>
            <w:vAlign w:val="center"/>
          </w:tcPr>
          <w:p w14:paraId="682FA271">
            <w:pPr>
              <w:pStyle w:val="8"/>
              <w:kinsoku w:val="0"/>
              <w:overflowPunct w:val="0"/>
              <w:ind w:firstLine="0" w:firstLineChars="0"/>
              <w:jc w:val="center"/>
              <w:rPr>
                <w:rFonts w:ascii="Arial" w:hAnsi="Arial" w:cs="Arial"/>
              </w:rPr>
            </w:pPr>
          </w:p>
        </w:tc>
        <w:tc>
          <w:tcPr>
            <w:tcW w:w="1392" w:type="dxa"/>
            <w:vMerge w:val="continue"/>
            <w:noWrap w:val="0"/>
            <w:vAlign w:val="center"/>
          </w:tcPr>
          <w:p w14:paraId="6F38F9E2">
            <w:pPr>
              <w:pStyle w:val="8"/>
              <w:kinsoku w:val="0"/>
              <w:overflowPunct w:val="0"/>
              <w:ind w:firstLine="0" w:firstLineChars="0"/>
              <w:jc w:val="center"/>
              <w:rPr>
                <w:rFonts w:ascii="Arial" w:hAnsi="Arial" w:cs="Arial"/>
              </w:rPr>
            </w:pPr>
          </w:p>
        </w:tc>
        <w:tc>
          <w:tcPr>
            <w:tcW w:w="6506" w:type="dxa"/>
            <w:noWrap w:val="0"/>
            <w:vAlign w:val="center"/>
          </w:tcPr>
          <w:p w14:paraId="797ACC4C">
            <w:pPr>
              <w:pStyle w:val="8"/>
              <w:kinsoku w:val="0"/>
              <w:overflowPunct w:val="0"/>
              <w:ind w:firstLine="0" w:firstLineChars="0"/>
              <w:jc w:val="both"/>
              <w:rPr>
                <w:rFonts w:hint="eastAsia" w:ascii="Arial" w:hAnsi="Arial" w:cs="Arial"/>
                <w:color w:val="000000"/>
              </w:rPr>
            </w:pPr>
            <w:r>
              <w:rPr>
                <w:rFonts w:hint="eastAsia" w:ascii="Arial" w:hAnsi="Arial" w:cs="Arial"/>
                <w:color w:val="000000"/>
              </w:rPr>
              <w:t>注册会计师人数、经营年限、业务规模等资质条件与招标人规模相适应，注册会计师人数不少于100人，</w:t>
            </w:r>
            <w:r>
              <w:rPr>
                <w:rFonts w:hint="eastAsia" w:ascii="Arial" w:hAnsi="Arial" w:cs="Arial"/>
                <w:color w:val="000000"/>
                <w:lang w:val="en-US" w:eastAsia="zh-CN"/>
              </w:rPr>
              <w:t>投标人</w:t>
            </w:r>
            <w:r>
              <w:rPr>
                <w:rFonts w:hint="eastAsia" w:ascii="Arial" w:hAnsi="Arial" w:cs="Arial"/>
                <w:color w:val="000000"/>
              </w:rPr>
              <w:t>近3年有连续从事金融企业审计相关经验；（提供证明文件）</w:t>
            </w:r>
          </w:p>
        </w:tc>
      </w:tr>
      <w:tr w14:paraId="0EF1D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EB8798E">
            <w:pPr>
              <w:pStyle w:val="8"/>
              <w:kinsoku w:val="0"/>
              <w:overflowPunct w:val="0"/>
              <w:ind w:firstLine="0" w:firstLineChars="0"/>
              <w:jc w:val="center"/>
              <w:rPr>
                <w:rFonts w:ascii="Arial" w:hAnsi="Arial" w:cs="Arial"/>
              </w:rPr>
            </w:pPr>
          </w:p>
        </w:tc>
        <w:tc>
          <w:tcPr>
            <w:tcW w:w="969" w:type="dxa"/>
            <w:vMerge w:val="continue"/>
            <w:noWrap w:val="0"/>
            <w:vAlign w:val="center"/>
          </w:tcPr>
          <w:p w14:paraId="128AFCE9">
            <w:pPr>
              <w:pStyle w:val="8"/>
              <w:kinsoku w:val="0"/>
              <w:overflowPunct w:val="0"/>
              <w:ind w:firstLine="0" w:firstLineChars="0"/>
              <w:jc w:val="center"/>
              <w:rPr>
                <w:rFonts w:ascii="Arial" w:hAnsi="Arial" w:cs="Arial"/>
              </w:rPr>
            </w:pPr>
          </w:p>
        </w:tc>
        <w:tc>
          <w:tcPr>
            <w:tcW w:w="1392" w:type="dxa"/>
            <w:noWrap w:val="0"/>
            <w:vAlign w:val="center"/>
          </w:tcPr>
          <w:p w14:paraId="4060E7E5">
            <w:pPr>
              <w:pStyle w:val="8"/>
              <w:kinsoku w:val="0"/>
              <w:overflowPunct w:val="0"/>
              <w:ind w:firstLine="0" w:firstLineChars="0"/>
              <w:jc w:val="center"/>
              <w:rPr>
                <w:rFonts w:ascii="Arial" w:hAnsi="Arial" w:cs="Arial"/>
              </w:rPr>
            </w:pPr>
            <w:r>
              <w:rPr>
                <w:rFonts w:ascii="Arial" w:hAnsi="Arial" w:cs="Arial"/>
              </w:rPr>
              <w:t>信誉要求</w:t>
            </w:r>
          </w:p>
        </w:tc>
        <w:tc>
          <w:tcPr>
            <w:tcW w:w="6506" w:type="dxa"/>
            <w:noWrap w:val="0"/>
            <w:vAlign w:val="center"/>
          </w:tcPr>
          <w:p w14:paraId="6839FE2F">
            <w:pPr>
              <w:pStyle w:val="8"/>
              <w:kinsoku w:val="0"/>
              <w:overflowPunct w:val="0"/>
              <w:ind w:firstLine="0" w:firstLineChars="0"/>
              <w:jc w:val="both"/>
              <w:rPr>
                <w:rFonts w:ascii="Arial" w:hAnsi="Arial" w:cs="Arial"/>
              </w:rPr>
            </w:pPr>
            <w:r>
              <w:rPr>
                <w:rFonts w:hint="eastAsia" w:ascii="Arial" w:hAnsi="Arial" w:cs="Arial"/>
              </w:rPr>
              <w:t>①2022年起投标人不得为失信被执行人；②2022年起未被列入重大税收违法失信主体；③2022年起未被列入政府采购严重违法失信行为记录名单；④2022年起投标人不得有行贿犯罪行为。</w:t>
            </w:r>
          </w:p>
        </w:tc>
      </w:tr>
      <w:tr w14:paraId="0F542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2FACB38">
            <w:pPr>
              <w:pStyle w:val="8"/>
              <w:kinsoku w:val="0"/>
              <w:overflowPunct w:val="0"/>
              <w:ind w:firstLine="0" w:firstLineChars="0"/>
              <w:jc w:val="center"/>
              <w:rPr>
                <w:rFonts w:ascii="Arial" w:hAnsi="Arial" w:cs="Arial"/>
              </w:rPr>
            </w:pPr>
          </w:p>
        </w:tc>
        <w:tc>
          <w:tcPr>
            <w:tcW w:w="969" w:type="dxa"/>
            <w:vMerge w:val="continue"/>
            <w:noWrap w:val="0"/>
            <w:vAlign w:val="center"/>
          </w:tcPr>
          <w:p w14:paraId="5A88AFA8">
            <w:pPr>
              <w:pStyle w:val="8"/>
              <w:kinsoku w:val="0"/>
              <w:overflowPunct w:val="0"/>
              <w:ind w:firstLine="0" w:firstLineChars="0"/>
              <w:jc w:val="center"/>
              <w:rPr>
                <w:rFonts w:ascii="Arial" w:hAnsi="Arial" w:cs="Arial"/>
              </w:rPr>
            </w:pPr>
          </w:p>
        </w:tc>
        <w:tc>
          <w:tcPr>
            <w:tcW w:w="1392" w:type="dxa"/>
            <w:noWrap w:val="0"/>
            <w:vAlign w:val="center"/>
          </w:tcPr>
          <w:p w14:paraId="382EFB8B">
            <w:pPr>
              <w:pStyle w:val="8"/>
              <w:kinsoku w:val="0"/>
              <w:overflowPunct w:val="0"/>
              <w:ind w:firstLine="0" w:firstLineChars="0"/>
              <w:jc w:val="center"/>
              <w:rPr>
                <w:rFonts w:ascii="Arial" w:hAnsi="Arial" w:cs="Arial"/>
              </w:rPr>
            </w:pPr>
            <w:r>
              <w:rPr>
                <w:rFonts w:ascii="Arial" w:hAnsi="Arial" w:cs="Arial"/>
              </w:rPr>
              <w:t>不存在禁止投标的情形</w:t>
            </w:r>
          </w:p>
        </w:tc>
        <w:tc>
          <w:tcPr>
            <w:tcW w:w="6506" w:type="dxa"/>
            <w:noWrap w:val="0"/>
            <w:vAlign w:val="center"/>
          </w:tcPr>
          <w:p w14:paraId="34193844">
            <w:pPr>
              <w:pStyle w:val="8"/>
              <w:kinsoku w:val="0"/>
              <w:overflowPunct w:val="0"/>
              <w:ind w:firstLine="0" w:firstLineChars="0"/>
              <w:jc w:val="both"/>
              <w:rPr>
                <w:rFonts w:ascii="Arial" w:hAnsi="Arial" w:cs="Arial"/>
              </w:rPr>
            </w:pPr>
            <w:r>
              <w:rPr>
                <w:rFonts w:ascii="Arial" w:hAnsi="Arial" w:cs="Arial"/>
              </w:rPr>
              <w:t>不存在第二章“投标人须知”第</w:t>
            </w:r>
            <w:r>
              <w:rPr>
                <w:rFonts w:ascii="Arial" w:hAnsi="Arial" w:cs="Arial"/>
                <w:spacing w:val="-67"/>
              </w:rPr>
              <w:t xml:space="preserve"> </w:t>
            </w:r>
            <w:r>
              <w:rPr>
                <w:rFonts w:ascii="Arial" w:hAnsi="Arial" w:cs="Arial"/>
              </w:rPr>
              <w:t>1.4.3</w:t>
            </w:r>
            <w:r>
              <w:rPr>
                <w:rFonts w:ascii="Arial" w:hAnsi="Arial" w:cs="Arial"/>
                <w:spacing w:val="-16"/>
              </w:rPr>
              <w:t xml:space="preserve"> </w:t>
            </w:r>
            <w:r>
              <w:rPr>
                <w:rFonts w:ascii="Arial" w:hAnsi="Arial" w:cs="Arial"/>
              </w:rPr>
              <w:t>项规定的任何一种情形</w:t>
            </w:r>
          </w:p>
        </w:tc>
      </w:tr>
      <w:tr w14:paraId="59805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45582B46">
            <w:pPr>
              <w:pStyle w:val="8"/>
              <w:kinsoku w:val="0"/>
              <w:overflowPunct w:val="0"/>
              <w:ind w:firstLine="0" w:firstLineChars="0"/>
              <w:jc w:val="center"/>
              <w:rPr>
                <w:rFonts w:ascii="Arial" w:hAnsi="Arial" w:cs="Arial"/>
              </w:rPr>
            </w:pPr>
            <w:r>
              <w:rPr>
                <w:rFonts w:ascii="Arial" w:hAnsi="Arial" w:cs="Arial"/>
              </w:rPr>
              <w:t>2.1.3</w:t>
            </w:r>
          </w:p>
        </w:tc>
        <w:tc>
          <w:tcPr>
            <w:tcW w:w="969" w:type="dxa"/>
            <w:vMerge w:val="restart"/>
            <w:noWrap w:val="0"/>
            <w:vAlign w:val="center"/>
          </w:tcPr>
          <w:p w14:paraId="2921D5AC">
            <w:pPr>
              <w:pStyle w:val="8"/>
              <w:kinsoku w:val="0"/>
              <w:overflowPunct w:val="0"/>
              <w:ind w:firstLine="0" w:firstLineChars="0"/>
              <w:jc w:val="center"/>
              <w:rPr>
                <w:rFonts w:ascii="Arial" w:hAnsi="Arial" w:cs="Arial"/>
              </w:rPr>
            </w:pPr>
            <w:r>
              <w:rPr>
                <w:rFonts w:ascii="Arial" w:hAnsi="Arial" w:cs="Arial"/>
              </w:rPr>
              <w:t>响应性评 审标准</w:t>
            </w:r>
          </w:p>
        </w:tc>
        <w:tc>
          <w:tcPr>
            <w:tcW w:w="1392" w:type="dxa"/>
            <w:noWrap w:val="0"/>
            <w:vAlign w:val="center"/>
          </w:tcPr>
          <w:p w14:paraId="295A2FA7">
            <w:pPr>
              <w:pStyle w:val="8"/>
              <w:kinsoku w:val="0"/>
              <w:overflowPunct w:val="0"/>
              <w:ind w:firstLine="0" w:firstLineChars="0"/>
              <w:jc w:val="center"/>
              <w:rPr>
                <w:rFonts w:ascii="Arial" w:hAnsi="Arial" w:cs="Arial"/>
              </w:rPr>
            </w:pPr>
            <w:r>
              <w:rPr>
                <w:rFonts w:ascii="Arial" w:hAnsi="Arial" w:cs="Arial"/>
              </w:rPr>
              <w:t>投标报价</w:t>
            </w:r>
          </w:p>
        </w:tc>
        <w:tc>
          <w:tcPr>
            <w:tcW w:w="6506" w:type="dxa"/>
            <w:noWrap w:val="0"/>
            <w:vAlign w:val="center"/>
          </w:tcPr>
          <w:p w14:paraId="730AD0A6">
            <w:pPr>
              <w:pStyle w:val="8"/>
              <w:kinsoku w:val="0"/>
              <w:overflowPunct w:val="0"/>
              <w:ind w:firstLine="0" w:firstLineChars="0"/>
              <w:jc w:val="both"/>
              <w:rPr>
                <w:rFonts w:ascii="Arial" w:hAnsi="Arial" w:cs="Arial"/>
              </w:rPr>
            </w:pPr>
            <w:r>
              <w:rPr>
                <w:rFonts w:ascii="Arial" w:hAnsi="Arial" w:cs="Arial"/>
              </w:rPr>
              <w:t>符合第二章“投标人须知”第</w:t>
            </w:r>
            <w:r>
              <w:rPr>
                <w:rFonts w:ascii="Arial" w:hAnsi="Arial" w:cs="Arial"/>
                <w:spacing w:val="-54"/>
              </w:rPr>
              <w:t xml:space="preserve"> </w:t>
            </w:r>
            <w:r>
              <w:rPr>
                <w:rFonts w:ascii="Arial" w:hAnsi="Arial" w:cs="Arial"/>
              </w:rPr>
              <w:t>3.2</w:t>
            </w:r>
            <w:r>
              <w:rPr>
                <w:rFonts w:ascii="Arial" w:hAnsi="Arial" w:cs="Arial"/>
                <w:spacing w:val="-4"/>
              </w:rPr>
              <w:t xml:space="preserve"> </w:t>
            </w:r>
            <w:r>
              <w:rPr>
                <w:rFonts w:ascii="Arial" w:hAnsi="Arial" w:cs="Arial"/>
              </w:rPr>
              <w:t>款规定</w:t>
            </w:r>
          </w:p>
        </w:tc>
      </w:tr>
      <w:tr w14:paraId="07BA6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BD0EFDE">
            <w:pPr>
              <w:pStyle w:val="8"/>
              <w:kinsoku w:val="0"/>
              <w:overflowPunct w:val="0"/>
              <w:ind w:firstLine="0" w:firstLineChars="0"/>
              <w:jc w:val="center"/>
              <w:rPr>
                <w:rFonts w:ascii="Arial" w:hAnsi="Arial" w:cs="Arial"/>
              </w:rPr>
            </w:pPr>
          </w:p>
        </w:tc>
        <w:tc>
          <w:tcPr>
            <w:tcW w:w="969" w:type="dxa"/>
            <w:vMerge w:val="continue"/>
            <w:noWrap w:val="0"/>
            <w:vAlign w:val="center"/>
          </w:tcPr>
          <w:p w14:paraId="2E3FEE31">
            <w:pPr>
              <w:pStyle w:val="8"/>
              <w:kinsoku w:val="0"/>
              <w:overflowPunct w:val="0"/>
              <w:ind w:firstLine="0" w:firstLineChars="0"/>
              <w:jc w:val="center"/>
              <w:rPr>
                <w:rFonts w:ascii="Arial" w:hAnsi="Arial" w:cs="Arial"/>
              </w:rPr>
            </w:pPr>
          </w:p>
        </w:tc>
        <w:tc>
          <w:tcPr>
            <w:tcW w:w="1392" w:type="dxa"/>
            <w:noWrap w:val="0"/>
            <w:vAlign w:val="center"/>
          </w:tcPr>
          <w:p w14:paraId="3DF5970D">
            <w:pPr>
              <w:pStyle w:val="8"/>
              <w:kinsoku w:val="0"/>
              <w:overflowPunct w:val="0"/>
              <w:ind w:firstLine="0" w:firstLineChars="0"/>
              <w:jc w:val="center"/>
              <w:rPr>
                <w:rFonts w:ascii="Arial" w:hAnsi="Arial" w:cs="Arial"/>
              </w:rPr>
            </w:pPr>
            <w:r>
              <w:rPr>
                <w:rFonts w:ascii="Arial" w:hAnsi="Arial" w:cs="Arial"/>
              </w:rPr>
              <w:t>投标内容</w:t>
            </w:r>
          </w:p>
        </w:tc>
        <w:tc>
          <w:tcPr>
            <w:tcW w:w="6506" w:type="dxa"/>
            <w:noWrap w:val="0"/>
            <w:vAlign w:val="center"/>
          </w:tcPr>
          <w:p w14:paraId="48E6E846">
            <w:pPr>
              <w:pStyle w:val="8"/>
              <w:kinsoku w:val="0"/>
              <w:overflowPunct w:val="0"/>
              <w:ind w:firstLine="0" w:firstLineChars="0"/>
              <w:jc w:val="both"/>
              <w:rPr>
                <w:rFonts w:ascii="Arial" w:hAnsi="Arial" w:cs="Arial"/>
              </w:rPr>
            </w:pPr>
            <w:r>
              <w:rPr>
                <w:rFonts w:ascii="Arial" w:hAnsi="Arial" w:cs="Arial"/>
              </w:rPr>
              <w:t>符合第二章“投标人须知”第</w:t>
            </w:r>
            <w:r>
              <w:rPr>
                <w:rFonts w:ascii="Arial" w:hAnsi="Arial" w:cs="Arial"/>
                <w:spacing w:val="-55"/>
              </w:rPr>
              <w:t xml:space="preserve"> </w:t>
            </w:r>
            <w:r>
              <w:rPr>
                <w:rFonts w:ascii="Arial" w:hAnsi="Arial" w:cs="Arial"/>
              </w:rPr>
              <w:t>1.3.1</w:t>
            </w:r>
            <w:r>
              <w:rPr>
                <w:rFonts w:ascii="Arial" w:hAnsi="Arial" w:cs="Arial"/>
                <w:spacing w:val="-2"/>
              </w:rPr>
              <w:t xml:space="preserve"> </w:t>
            </w:r>
            <w:r>
              <w:rPr>
                <w:rFonts w:ascii="Arial" w:hAnsi="Arial" w:cs="Arial"/>
              </w:rPr>
              <w:t>项规定</w:t>
            </w:r>
          </w:p>
        </w:tc>
      </w:tr>
      <w:tr w14:paraId="237DC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BEF3198">
            <w:pPr>
              <w:pStyle w:val="8"/>
              <w:kinsoku w:val="0"/>
              <w:overflowPunct w:val="0"/>
              <w:ind w:firstLine="0" w:firstLineChars="0"/>
              <w:jc w:val="center"/>
              <w:rPr>
                <w:rFonts w:ascii="Arial" w:hAnsi="Arial" w:cs="Arial"/>
              </w:rPr>
            </w:pPr>
          </w:p>
        </w:tc>
        <w:tc>
          <w:tcPr>
            <w:tcW w:w="969" w:type="dxa"/>
            <w:vMerge w:val="continue"/>
            <w:noWrap w:val="0"/>
            <w:vAlign w:val="center"/>
          </w:tcPr>
          <w:p w14:paraId="34472981">
            <w:pPr>
              <w:pStyle w:val="8"/>
              <w:kinsoku w:val="0"/>
              <w:overflowPunct w:val="0"/>
              <w:ind w:firstLine="0" w:firstLineChars="0"/>
              <w:jc w:val="center"/>
              <w:rPr>
                <w:rFonts w:ascii="Arial" w:hAnsi="Arial" w:cs="Arial"/>
              </w:rPr>
            </w:pPr>
          </w:p>
        </w:tc>
        <w:tc>
          <w:tcPr>
            <w:tcW w:w="1392" w:type="dxa"/>
            <w:noWrap w:val="0"/>
            <w:vAlign w:val="center"/>
          </w:tcPr>
          <w:p w14:paraId="3CE5FA35">
            <w:pPr>
              <w:pStyle w:val="8"/>
              <w:kinsoku w:val="0"/>
              <w:overflowPunct w:val="0"/>
              <w:ind w:firstLine="0" w:firstLineChars="0"/>
              <w:jc w:val="center"/>
              <w:rPr>
                <w:rFonts w:ascii="Arial" w:hAnsi="Arial" w:cs="Arial"/>
              </w:rPr>
            </w:pPr>
            <w:r>
              <w:rPr>
                <w:rFonts w:ascii="Arial" w:hAnsi="Arial" w:cs="Arial"/>
              </w:rPr>
              <w:t>服务期限</w:t>
            </w:r>
          </w:p>
        </w:tc>
        <w:tc>
          <w:tcPr>
            <w:tcW w:w="6506" w:type="dxa"/>
            <w:noWrap w:val="0"/>
            <w:vAlign w:val="center"/>
          </w:tcPr>
          <w:p w14:paraId="5D536C9D">
            <w:pPr>
              <w:pStyle w:val="8"/>
              <w:kinsoku w:val="0"/>
              <w:overflowPunct w:val="0"/>
              <w:ind w:firstLine="0" w:firstLineChars="0"/>
              <w:jc w:val="both"/>
              <w:rPr>
                <w:rFonts w:hint="eastAsia" w:ascii="Arial" w:hAnsi="Arial" w:eastAsia="宋体" w:cs="Arial"/>
                <w:lang w:eastAsia="zh-CN"/>
              </w:rPr>
            </w:pPr>
            <w:r>
              <w:rPr>
                <w:rFonts w:hint="eastAsia" w:ascii="Arial" w:hAnsi="Arial" w:cs="Arial"/>
                <w:lang w:eastAsia="zh-CN"/>
              </w:rPr>
              <w:t>自合同签订之日起1年，合作1年后双方无异议可以续签，合同采取一年一签模式，但整体合作期限最长不超过5年</w:t>
            </w:r>
          </w:p>
        </w:tc>
      </w:tr>
      <w:tr w14:paraId="58480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06C0682">
            <w:pPr>
              <w:pStyle w:val="8"/>
              <w:kinsoku w:val="0"/>
              <w:overflowPunct w:val="0"/>
              <w:ind w:firstLine="0" w:firstLineChars="0"/>
              <w:jc w:val="center"/>
              <w:rPr>
                <w:rFonts w:ascii="Arial" w:hAnsi="Arial" w:cs="Arial"/>
              </w:rPr>
            </w:pPr>
          </w:p>
        </w:tc>
        <w:tc>
          <w:tcPr>
            <w:tcW w:w="969" w:type="dxa"/>
            <w:vMerge w:val="continue"/>
            <w:noWrap w:val="0"/>
            <w:vAlign w:val="center"/>
          </w:tcPr>
          <w:p w14:paraId="5B00E5C1">
            <w:pPr>
              <w:pStyle w:val="8"/>
              <w:kinsoku w:val="0"/>
              <w:overflowPunct w:val="0"/>
              <w:ind w:firstLine="0" w:firstLineChars="0"/>
              <w:jc w:val="center"/>
              <w:rPr>
                <w:rFonts w:ascii="Arial" w:hAnsi="Arial" w:cs="Arial"/>
              </w:rPr>
            </w:pPr>
          </w:p>
        </w:tc>
        <w:tc>
          <w:tcPr>
            <w:tcW w:w="1392" w:type="dxa"/>
            <w:noWrap w:val="0"/>
            <w:vAlign w:val="center"/>
          </w:tcPr>
          <w:p w14:paraId="2533A399">
            <w:pPr>
              <w:pStyle w:val="8"/>
              <w:kinsoku w:val="0"/>
              <w:overflowPunct w:val="0"/>
              <w:ind w:firstLine="0" w:firstLineChars="0"/>
              <w:jc w:val="center"/>
              <w:rPr>
                <w:rFonts w:ascii="Arial" w:hAnsi="Arial" w:cs="Arial"/>
              </w:rPr>
            </w:pPr>
            <w:r>
              <w:rPr>
                <w:rFonts w:ascii="Arial" w:hAnsi="Arial" w:cs="Arial"/>
              </w:rPr>
              <w:t>投标有效期</w:t>
            </w:r>
          </w:p>
        </w:tc>
        <w:tc>
          <w:tcPr>
            <w:tcW w:w="6506" w:type="dxa"/>
            <w:noWrap w:val="0"/>
            <w:vAlign w:val="center"/>
          </w:tcPr>
          <w:p w14:paraId="1938DCD5">
            <w:pPr>
              <w:pStyle w:val="8"/>
              <w:kinsoku w:val="0"/>
              <w:overflowPunct w:val="0"/>
              <w:ind w:firstLine="0" w:firstLineChars="0"/>
              <w:jc w:val="both"/>
              <w:rPr>
                <w:rFonts w:ascii="Arial" w:hAnsi="Arial" w:cs="Arial"/>
              </w:rPr>
            </w:pPr>
            <w:r>
              <w:rPr>
                <w:rFonts w:hint="eastAsia" w:ascii="Arial" w:hAnsi="Arial" w:cs="Arial"/>
              </w:rPr>
              <w:t>投标截止日期后60日历天</w:t>
            </w:r>
          </w:p>
        </w:tc>
      </w:tr>
      <w:tr w14:paraId="25BF7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1467247">
            <w:pPr>
              <w:pStyle w:val="8"/>
              <w:kinsoku w:val="0"/>
              <w:overflowPunct w:val="0"/>
              <w:ind w:firstLine="0" w:firstLineChars="0"/>
              <w:jc w:val="center"/>
              <w:rPr>
                <w:rFonts w:ascii="Arial" w:hAnsi="Arial" w:cs="Arial"/>
              </w:rPr>
            </w:pPr>
          </w:p>
        </w:tc>
        <w:tc>
          <w:tcPr>
            <w:tcW w:w="969" w:type="dxa"/>
            <w:vMerge w:val="continue"/>
            <w:noWrap w:val="0"/>
            <w:vAlign w:val="center"/>
          </w:tcPr>
          <w:p w14:paraId="016FCF66">
            <w:pPr>
              <w:pStyle w:val="8"/>
              <w:kinsoku w:val="0"/>
              <w:overflowPunct w:val="0"/>
              <w:ind w:firstLine="0" w:firstLineChars="0"/>
              <w:jc w:val="center"/>
              <w:rPr>
                <w:rFonts w:ascii="Arial" w:hAnsi="Arial" w:cs="Arial"/>
              </w:rPr>
            </w:pPr>
          </w:p>
        </w:tc>
        <w:tc>
          <w:tcPr>
            <w:tcW w:w="1392" w:type="dxa"/>
            <w:noWrap w:val="0"/>
            <w:vAlign w:val="center"/>
          </w:tcPr>
          <w:p w14:paraId="4EA41DC8">
            <w:pPr>
              <w:pStyle w:val="8"/>
              <w:kinsoku w:val="0"/>
              <w:overflowPunct w:val="0"/>
              <w:ind w:firstLine="0" w:firstLineChars="0"/>
              <w:jc w:val="center"/>
              <w:rPr>
                <w:rFonts w:ascii="Arial" w:hAnsi="Arial" w:cs="Arial"/>
              </w:rPr>
            </w:pPr>
            <w:r>
              <w:rPr>
                <w:rFonts w:ascii="Arial" w:hAnsi="Arial" w:cs="Arial"/>
              </w:rPr>
              <w:t>投标保证金</w:t>
            </w:r>
          </w:p>
        </w:tc>
        <w:tc>
          <w:tcPr>
            <w:tcW w:w="6506" w:type="dxa"/>
            <w:noWrap w:val="0"/>
            <w:vAlign w:val="center"/>
          </w:tcPr>
          <w:p w14:paraId="70E4DD06">
            <w:pPr>
              <w:pStyle w:val="8"/>
              <w:kinsoku w:val="0"/>
              <w:overflowPunct w:val="0"/>
              <w:ind w:firstLine="0" w:firstLineChars="0"/>
              <w:jc w:val="both"/>
              <w:rPr>
                <w:rFonts w:ascii="Arial" w:hAnsi="Arial" w:cs="Arial"/>
              </w:rPr>
            </w:pPr>
            <w:r>
              <w:rPr>
                <w:rFonts w:ascii="Arial" w:hAnsi="Arial" w:cs="Arial"/>
                <w:highlight w:val="none"/>
              </w:rPr>
              <w:t>人民币</w:t>
            </w:r>
            <w:r>
              <w:rPr>
                <w:rFonts w:hint="eastAsia" w:ascii="Arial" w:hAnsi="Arial" w:cs="Arial"/>
                <w:highlight w:val="none"/>
                <w:lang w:val="en-US" w:eastAsia="zh-CN"/>
              </w:rPr>
              <w:t>壹拾伍万元整</w:t>
            </w:r>
            <w:r>
              <w:rPr>
                <w:rFonts w:ascii="Arial" w:hAnsi="Arial" w:cs="Arial"/>
                <w:highlight w:val="none"/>
              </w:rPr>
              <w:t>（¥</w:t>
            </w:r>
            <w:r>
              <w:rPr>
                <w:rFonts w:hint="eastAsia" w:ascii="Arial" w:hAnsi="Arial" w:cs="Arial"/>
                <w:highlight w:val="none"/>
                <w:lang w:val="en-US" w:eastAsia="zh-CN"/>
              </w:rPr>
              <w:t>150,000.00</w:t>
            </w:r>
            <w:r>
              <w:rPr>
                <w:rFonts w:ascii="Arial" w:hAnsi="Arial" w:cs="Arial"/>
                <w:highlight w:val="none"/>
              </w:rPr>
              <w:t>）</w:t>
            </w:r>
          </w:p>
        </w:tc>
      </w:tr>
      <w:tr w14:paraId="69298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1739420">
            <w:pPr>
              <w:pStyle w:val="8"/>
              <w:kinsoku w:val="0"/>
              <w:overflowPunct w:val="0"/>
              <w:ind w:firstLine="0" w:firstLineChars="0"/>
              <w:jc w:val="center"/>
              <w:rPr>
                <w:rFonts w:ascii="Arial" w:hAnsi="Arial" w:cs="Arial"/>
              </w:rPr>
            </w:pPr>
          </w:p>
        </w:tc>
        <w:tc>
          <w:tcPr>
            <w:tcW w:w="969" w:type="dxa"/>
            <w:vMerge w:val="continue"/>
            <w:noWrap w:val="0"/>
            <w:vAlign w:val="center"/>
          </w:tcPr>
          <w:p w14:paraId="0019B9D0">
            <w:pPr>
              <w:pStyle w:val="8"/>
              <w:kinsoku w:val="0"/>
              <w:overflowPunct w:val="0"/>
              <w:ind w:firstLine="0" w:firstLineChars="0"/>
              <w:jc w:val="center"/>
              <w:rPr>
                <w:rFonts w:ascii="Arial" w:hAnsi="Arial" w:cs="Arial"/>
              </w:rPr>
            </w:pPr>
          </w:p>
        </w:tc>
        <w:tc>
          <w:tcPr>
            <w:tcW w:w="1392" w:type="dxa"/>
            <w:noWrap w:val="0"/>
            <w:vAlign w:val="center"/>
          </w:tcPr>
          <w:p w14:paraId="73FED685">
            <w:pPr>
              <w:pStyle w:val="8"/>
              <w:kinsoku w:val="0"/>
              <w:overflowPunct w:val="0"/>
              <w:ind w:firstLine="0" w:firstLineChars="0"/>
              <w:jc w:val="center"/>
              <w:rPr>
                <w:rFonts w:ascii="Arial" w:hAnsi="Arial" w:cs="Arial"/>
              </w:rPr>
            </w:pPr>
            <w:r>
              <w:rPr>
                <w:rFonts w:ascii="Arial" w:hAnsi="Arial" w:cs="Arial"/>
              </w:rPr>
              <w:t>权利义务</w:t>
            </w:r>
          </w:p>
        </w:tc>
        <w:tc>
          <w:tcPr>
            <w:tcW w:w="6506" w:type="dxa"/>
            <w:noWrap w:val="0"/>
            <w:vAlign w:val="center"/>
          </w:tcPr>
          <w:p w14:paraId="3C518738">
            <w:pPr>
              <w:pStyle w:val="8"/>
              <w:kinsoku w:val="0"/>
              <w:overflowPunct w:val="0"/>
              <w:ind w:firstLine="0" w:firstLineChars="0"/>
              <w:jc w:val="both"/>
              <w:rPr>
                <w:rFonts w:ascii="Arial" w:hAnsi="Arial" w:cs="Arial"/>
              </w:rPr>
            </w:pPr>
            <w:r>
              <w:rPr>
                <w:rFonts w:ascii="Arial" w:hAnsi="Arial" w:cs="Arial"/>
              </w:rPr>
              <w:t>符合第二章“投标人须知”第 1.12.1</w:t>
            </w:r>
            <w:r>
              <w:rPr>
                <w:rFonts w:ascii="Arial" w:hAnsi="Arial" w:cs="Arial"/>
                <w:spacing w:val="33"/>
              </w:rPr>
              <w:t xml:space="preserve"> </w:t>
            </w:r>
            <w:r>
              <w:rPr>
                <w:rFonts w:ascii="Arial" w:hAnsi="Arial" w:cs="Arial"/>
                <w:spacing w:val="-3"/>
              </w:rPr>
              <w:t>项规定和第四</w:t>
            </w:r>
            <w:r>
              <w:rPr>
                <w:rFonts w:ascii="Arial" w:hAnsi="Arial" w:cs="Arial"/>
              </w:rPr>
              <w:t>章“合同条款及格式”中的实质性要求和条件</w:t>
            </w:r>
          </w:p>
        </w:tc>
      </w:tr>
      <w:tr w14:paraId="254C4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6E71060">
            <w:pPr>
              <w:pStyle w:val="8"/>
              <w:kinsoku w:val="0"/>
              <w:overflowPunct w:val="0"/>
              <w:ind w:firstLine="0" w:firstLineChars="0"/>
              <w:jc w:val="center"/>
              <w:rPr>
                <w:rFonts w:ascii="Arial" w:hAnsi="Arial" w:cs="Arial"/>
              </w:rPr>
            </w:pPr>
          </w:p>
        </w:tc>
        <w:tc>
          <w:tcPr>
            <w:tcW w:w="969" w:type="dxa"/>
            <w:vMerge w:val="continue"/>
            <w:noWrap w:val="0"/>
            <w:vAlign w:val="center"/>
          </w:tcPr>
          <w:p w14:paraId="2BC7D3BC">
            <w:pPr>
              <w:pStyle w:val="8"/>
              <w:kinsoku w:val="0"/>
              <w:overflowPunct w:val="0"/>
              <w:ind w:firstLine="0" w:firstLineChars="0"/>
              <w:jc w:val="center"/>
              <w:rPr>
                <w:rFonts w:ascii="Arial" w:hAnsi="Arial" w:cs="Arial"/>
              </w:rPr>
            </w:pPr>
          </w:p>
        </w:tc>
        <w:tc>
          <w:tcPr>
            <w:tcW w:w="1392" w:type="dxa"/>
            <w:noWrap w:val="0"/>
            <w:vAlign w:val="center"/>
          </w:tcPr>
          <w:p w14:paraId="0464B14E">
            <w:pPr>
              <w:pStyle w:val="8"/>
              <w:kinsoku w:val="0"/>
              <w:overflowPunct w:val="0"/>
              <w:ind w:firstLine="0" w:firstLineChars="0"/>
              <w:jc w:val="center"/>
              <w:rPr>
                <w:rFonts w:ascii="Arial" w:hAnsi="Arial" w:cs="Arial"/>
              </w:rPr>
            </w:pPr>
            <w:r>
              <w:rPr>
                <w:rFonts w:ascii="Arial" w:hAnsi="Arial" w:cs="Arial"/>
              </w:rPr>
              <w:t>服务方案</w:t>
            </w:r>
          </w:p>
        </w:tc>
        <w:tc>
          <w:tcPr>
            <w:tcW w:w="6506" w:type="dxa"/>
            <w:noWrap w:val="0"/>
            <w:vAlign w:val="center"/>
          </w:tcPr>
          <w:p w14:paraId="55686737">
            <w:pPr>
              <w:pStyle w:val="8"/>
              <w:kinsoku w:val="0"/>
              <w:overflowPunct w:val="0"/>
              <w:ind w:firstLine="0" w:firstLineChars="0"/>
              <w:jc w:val="both"/>
              <w:rPr>
                <w:rFonts w:ascii="Arial" w:hAnsi="Arial" w:cs="Arial"/>
              </w:rPr>
            </w:pPr>
            <w:r>
              <w:rPr>
                <w:rFonts w:ascii="Arial" w:hAnsi="Arial" w:cs="Arial"/>
              </w:rPr>
              <w:t>符合第五章“项目服务需求”中的实质性要求和条件</w:t>
            </w:r>
          </w:p>
        </w:tc>
      </w:tr>
    </w:tbl>
    <w:p w14:paraId="5BCB1C13">
      <w:pPr>
        <w:ind w:firstLine="0" w:firstLineChars="0"/>
        <w:rPr>
          <w:rFonts w:ascii="Arial" w:hAnsi="Arial" w:cs="Arial"/>
        </w:rPr>
      </w:pPr>
      <w:r>
        <w:rPr>
          <w:rFonts w:ascii="Arial" w:hAnsi="Arial" w:cs="Arial"/>
        </w:rPr>
        <w:br w:type="page"/>
      </w:r>
    </w:p>
    <w:tbl>
      <w:tblPr>
        <w:tblStyle w:val="6"/>
        <w:tblW w:w="101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7"/>
        <w:gridCol w:w="23"/>
        <w:gridCol w:w="1123"/>
        <w:gridCol w:w="1300"/>
        <w:gridCol w:w="6845"/>
      </w:tblGrid>
      <w:tr w14:paraId="64FA8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77" w:type="dxa"/>
            <w:noWrap w:val="0"/>
            <w:vAlign w:val="center"/>
          </w:tcPr>
          <w:p w14:paraId="4379D377">
            <w:pPr>
              <w:ind w:firstLine="0" w:firstLineChars="0"/>
              <w:jc w:val="center"/>
              <w:rPr>
                <w:rFonts w:ascii="Arial" w:hAnsi="Arial" w:cs="Arial"/>
              </w:rPr>
            </w:pPr>
            <w:r>
              <w:rPr>
                <w:rFonts w:ascii="Arial" w:hAnsi="Arial" w:cs="Arial"/>
              </w:rPr>
              <w:t>2.2</w:t>
            </w:r>
          </w:p>
        </w:tc>
        <w:tc>
          <w:tcPr>
            <w:tcW w:w="9291" w:type="dxa"/>
            <w:gridSpan w:val="4"/>
            <w:noWrap w:val="0"/>
            <w:vAlign w:val="center"/>
          </w:tcPr>
          <w:p w14:paraId="4B114C87">
            <w:pPr>
              <w:ind w:firstLine="0" w:firstLineChars="0"/>
              <w:jc w:val="center"/>
              <w:rPr>
                <w:rFonts w:ascii="Arial" w:hAnsi="Arial" w:cs="Arial"/>
                <w:b/>
              </w:rPr>
            </w:pPr>
            <w:r>
              <w:rPr>
                <w:rFonts w:ascii="Arial" w:hAnsi="Arial" w:cs="Arial"/>
                <w:b/>
              </w:rPr>
              <w:t>分值构成与评审标准</w:t>
            </w:r>
          </w:p>
        </w:tc>
      </w:tr>
      <w:tr w14:paraId="6D96D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023" w:type="dxa"/>
            <w:gridSpan w:val="3"/>
            <w:noWrap w:val="0"/>
            <w:vAlign w:val="center"/>
          </w:tcPr>
          <w:p w14:paraId="2DD24F40">
            <w:pPr>
              <w:ind w:firstLine="0" w:firstLineChars="0"/>
              <w:jc w:val="center"/>
              <w:rPr>
                <w:rFonts w:ascii="Arial" w:hAnsi="Arial" w:cs="Arial"/>
                <w:b/>
              </w:rPr>
            </w:pPr>
            <w:r>
              <w:rPr>
                <w:rFonts w:ascii="Arial" w:hAnsi="Arial" w:cs="Arial"/>
                <w:b/>
              </w:rPr>
              <w:t>条款号</w:t>
            </w:r>
          </w:p>
        </w:tc>
        <w:tc>
          <w:tcPr>
            <w:tcW w:w="1300" w:type="dxa"/>
            <w:noWrap w:val="0"/>
            <w:vAlign w:val="center"/>
          </w:tcPr>
          <w:p w14:paraId="3CA97344">
            <w:pPr>
              <w:ind w:firstLine="0" w:firstLineChars="0"/>
              <w:jc w:val="center"/>
              <w:rPr>
                <w:rFonts w:ascii="Arial" w:hAnsi="Arial" w:cs="Arial"/>
                <w:b/>
              </w:rPr>
            </w:pPr>
            <w:r>
              <w:rPr>
                <w:rFonts w:ascii="Arial" w:hAnsi="Arial" w:cs="Arial"/>
                <w:b/>
              </w:rPr>
              <w:t>条款内容</w:t>
            </w:r>
          </w:p>
        </w:tc>
        <w:tc>
          <w:tcPr>
            <w:tcW w:w="6845" w:type="dxa"/>
            <w:noWrap w:val="0"/>
            <w:vAlign w:val="center"/>
          </w:tcPr>
          <w:p w14:paraId="4EC22B21">
            <w:pPr>
              <w:ind w:firstLine="0" w:firstLineChars="0"/>
              <w:jc w:val="center"/>
              <w:rPr>
                <w:rFonts w:ascii="Arial" w:hAnsi="Arial" w:cs="Arial"/>
                <w:b/>
              </w:rPr>
            </w:pPr>
            <w:r>
              <w:rPr>
                <w:rFonts w:ascii="Arial" w:hAnsi="Arial" w:cs="Arial"/>
                <w:b/>
              </w:rPr>
              <w:t>编列内容</w:t>
            </w:r>
          </w:p>
        </w:tc>
      </w:tr>
      <w:tr w14:paraId="0FAB2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023" w:type="dxa"/>
            <w:gridSpan w:val="3"/>
            <w:noWrap w:val="0"/>
            <w:vAlign w:val="center"/>
          </w:tcPr>
          <w:p w14:paraId="6A73C519">
            <w:pPr>
              <w:pStyle w:val="8"/>
              <w:kinsoku w:val="0"/>
              <w:overflowPunct w:val="0"/>
              <w:ind w:firstLine="0" w:firstLineChars="0"/>
              <w:jc w:val="center"/>
              <w:rPr>
                <w:rFonts w:ascii="Arial" w:hAnsi="Arial" w:cs="Arial"/>
              </w:rPr>
            </w:pPr>
            <w:r>
              <w:rPr>
                <w:rFonts w:ascii="Arial" w:hAnsi="Arial" w:cs="Arial"/>
              </w:rPr>
              <w:t>2.2.1</w:t>
            </w:r>
          </w:p>
        </w:tc>
        <w:tc>
          <w:tcPr>
            <w:tcW w:w="1300" w:type="dxa"/>
            <w:noWrap w:val="0"/>
            <w:vAlign w:val="center"/>
          </w:tcPr>
          <w:p w14:paraId="47208B83">
            <w:pPr>
              <w:pStyle w:val="8"/>
              <w:kinsoku w:val="0"/>
              <w:overflowPunct w:val="0"/>
              <w:ind w:firstLine="0" w:firstLineChars="0"/>
              <w:jc w:val="center"/>
              <w:rPr>
                <w:rFonts w:ascii="Arial" w:hAnsi="Arial" w:cs="Arial"/>
              </w:rPr>
            </w:pPr>
            <w:r>
              <w:rPr>
                <w:rFonts w:ascii="Arial" w:hAnsi="Arial" w:cs="Arial"/>
              </w:rPr>
              <w:t>分值构成</w:t>
            </w:r>
          </w:p>
          <w:p w14:paraId="44F95987">
            <w:pPr>
              <w:pStyle w:val="8"/>
              <w:kinsoku w:val="0"/>
              <w:overflowPunct w:val="0"/>
              <w:ind w:firstLine="0" w:firstLineChars="0"/>
              <w:jc w:val="center"/>
              <w:rPr>
                <w:rFonts w:ascii="Arial" w:hAnsi="Arial" w:cs="Arial"/>
              </w:rPr>
            </w:pPr>
            <w:r>
              <w:rPr>
                <w:rFonts w:ascii="Arial" w:hAnsi="Arial" w:cs="Arial"/>
              </w:rPr>
              <w:t>（总分100分）</w:t>
            </w:r>
          </w:p>
        </w:tc>
        <w:tc>
          <w:tcPr>
            <w:tcW w:w="6845" w:type="dxa"/>
            <w:noWrap w:val="0"/>
            <w:vAlign w:val="center"/>
          </w:tcPr>
          <w:p w14:paraId="27F88F0F">
            <w:pPr>
              <w:pStyle w:val="8"/>
              <w:tabs>
                <w:tab w:val="left" w:pos="1889"/>
                <w:tab w:val="left" w:pos="2309"/>
              </w:tabs>
              <w:kinsoku w:val="0"/>
              <w:overflowPunct w:val="0"/>
              <w:ind w:firstLine="0" w:firstLineChars="0"/>
              <w:jc w:val="both"/>
              <w:rPr>
                <w:rFonts w:ascii="Arial" w:hAnsi="Arial" w:cs="Arial"/>
              </w:rPr>
            </w:pPr>
            <w:r>
              <w:rPr>
                <w:rFonts w:ascii="Arial" w:hAnsi="Arial" w:cs="Arial"/>
                <w:spacing w:val="-2"/>
              </w:rPr>
              <w:t>商务部分：</w:t>
            </w:r>
            <w:r>
              <w:rPr>
                <w:rFonts w:ascii="Arial" w:hAnsi="Arial" w:cs="Arial"/>
                <w:spacing w:val="-2"/>
                <w:u w:val="single"/>
              </w:rPr>
              <w:t xml:space="preserve"> </w:t>
            </w:r>
            <w:r>
              <w:rPr>
                <w:rFonts w:hint="eastAsia" w:ascii="Arial" w:hAnsi="Arial" w:cs="Arial"/>
                <w:spacing w:val="-2"/>
                <w:u w:val="single"/>
              </w:rPr>
              <w:t>27</w:t>
            </w:r>
            <w:r>
              <w:rPr>
                <w:rFonts w:ascii="Arial" w:hAnsi="Arial" w:cs="Arial"/>
                <w:spacing w:val="-2"/>
                <w:u w:val="single"/>
              </w:rPr>
              <w:t xml:space="preserve"> </w:t>
            </w:r>
            <w:r>
              <w:rPr>
                <w:rFonts w:ascii="Arial" w:hAnsi="Arial" w:cs="Arial"/>
              </w:rPr>
              <w:t>分</w:t>
            </w:r>
          </w:p>
          <w:p w14:paraId="568F7125">
            <w:pPr>
              <w:pStyle w:val="8"/>
              <w:tabs>
                <w:tab w:val="left" w:pos="1889"/>
                <w:tab w:val="left" w:pos="2309"/>
              </w:tabs>
              <w:kinsoku w:val="0"/>
              <w:overflowPunct w:val="0"/>
              <w:ind w:firstLine="0" w:firstLineChars="0"/>
              <w:jc w:val="both"/>
              <w:rPr>
                <w:rFonts w:ascii="Arial" w:hAnsi="Arial" w:cs="Arial"/>
              </w:rPr>
            </w:pPr>
            <w:r>
              <w:rPr>
                <w:rFonts w:ascii="Arial" w:hAnsi="Arial" w:cs="Arial"/>
                <w:spacing w:val="-2"/>
              </w:rPr>
              <w:t>技术部分：</w:t>
            </w:r>
            <w:r>
              <w:rPr>
                <w:rFonts w:ascii="Arial" w:hAnsi="Arial" w:cs="Arial"/>
                <w:spacing w:val="-2"/>
                <w:u w:val="single"/>
              </w:rPr>
              <w:t xml:space="preserve"> </w:t>
            </w:r>
            <w:r>
              <w:rPr>
                <w:rFonts w:hint="eastAsia" w:ascii="Arial" w:hAnsi="Arial" w:cs="Arial"/>
                <w:spacing w:val="-2"/>
                <w:u w:val="single"/>
              </w:rPr>
              <w:t>6</w:t>
            </w:r>
            <w:r>
              <w:rPr>
                <w:rFonts w:hint="eastAsia" w:ascii="Arial" w:hAnsi="Arial" w:cs="Arial"/>
                <w:spacing w:val="-2"/>
                <w:u w:val="single"/>
                <w:lang w:val="en-US" w:eastAsia="zh-CN"/>
              </w:rPr>
              <w:t>2</w:t>
            </w:r>
            <w:r>
              <w:rPr>
                <w:rFonts w:ascii="Arial" w:hAnsi="Arial" w:cs="Arial"/>
                <w:spacing w:val="-2"/>
                <w:u w:val="single"/>
              </w:rPr>
              <w:t xml:space="preserve"> </w:t>
            </w:r>
            <w:r>
              <w:rPr>
                <w:rFonts w:ascii="Arial" w:hAnsi="Arial" w:cs="Arial"/>
              </w:rPr>
              <w:t>分</w:t>
            </w:r>
          </w:p>
          <w:p w14:paraId="7AC85A7B">
            <w:pPr>
              <w:pStyle w:val="8"/>
              <w:tabs>
                <w:tab w:val="left" w:pos="1889"/>
                <w:tab w:val="left" w:pos="2309"/>
              </w:tabs>
              <w:kinsoku w:val="0"/>
              <w:overflowPunct w:val="0"/>
              <w:ind w:firstLine="0" w:firstLineChars="0"/>
              <w:jc w:val="both"/>
              <w:rPr>
                <w:rFonts w:ascii="Arial" w:hAnsi="Arial" w:cs="Arial"/>
              </w:rPr>
            </w:pPr>
            <w:r>
              <w:rPr>
                <w:rFonts w:ascii="Arial" w:hAnsi="Arial" w:cs="Arial"/>
                <w:spacing w:val="-2"/>
              </w:rPr>
              <w:t>投标报价：</w:t>
            </w:r>
            <w:r>
              <w:rPr>
                <w:rFonts w:ascii="Arial" w:hAnsi="Arial" w:cs="Arial"/>
                <w:spacing w:val="-2"/>
                <w:u w:val="single"/>
              </w:rPr>
              <w:t xml:space="preserve"> </w:t>
            </w:r>
            <w:r>
              <w:rPr>
                <w:rFonts w:hint="eastAsia" w:ascii="Arial" w:hAnsi="Arial" w:cs="Arial"/>
                <w:spacing w:val="-2"/>
                <w:u w:val="single"/>
              </w:rPr>
              <w:t>1</w:t>
            </w:r>
            <w:r>
              <w:rPr>
                <w:rFonts w:hint="eastAsia" w:ascii="Arial" w:hAnsi="Arial" w:cs="Arial"/>
                <w:spacing w:val="-2"/>
                <w:u w:val="single"/>
                <w:lang w:val="en-US" w:eastAsia="zh-CN"/>
              </w:rPr>
              <w:t>1</w:t>
            </w:r>
            <w:r>
              <w:rPr>
                <w:rFonts w:ascii="Arial" w:hAnsi="Arial" w:cs="Arial"/>
              </w:rPr>
              <w:t>分</w:t>
            </w:r>
          </w:p>
        </w:tc>
      </w:tr>
      <w:tr w14:paraId="5D7C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023" w:type="dxa"/>
            <w:gridSpan w:val="3"/>
            <w:noWrap w:val="0"/>
            <w:vAlign w:val="center"/>
          </w:tcPr>
          <w:p w14:paraId="548C81DF">
            <w:pPr>
              <w:pStyle w:val="8"/>
              <w:kinsoku w:val="0"/>
              <w:overflowPunct w:val="0"/>
              <w:ind w:firstLine="0" w:firstLineChars="0"/>
              <w:jc w:val="center"/>
              <w:rPr>
                <w:rFonts w:ascii="Arial" w:hAnsi="Arial" w:cs="Arial"/>
              </w:rPr>
            </w:pPr>
            <w:r>
              <w:rPr>
                <w:rFonts w:ascii="Arial" w:hAnsi="Arial" w:cs="Arial"/>
                <w:b/>
              </w:rPr>
              <w:t>条款号</w:t>
            </w:r>
          </w:p>
        </w:tc>
        <w:tc>
          <w:tcPr>
            <w:tcW w:w="1300" w:type="dxa"/>
            <w:noWrap w:val="0"/>
            <w:vAlign w:val="center"/>
          </w:tcPr>
          <w:p w14:paraId="1595FCA5">
            <w:pPr>
              <w:ind w:firstLine="0" w:firstLineChars="0"/>
              <w:jc w:val="center"/>
              <w:rPr>
                <w:rFonts w:ascii="Arial" w:hAnsi="Arial" w:cs="Arial"/>
                <w:b/>
              </w:rPr>
            </w:pPr>
            <w:r>
              <w:rPr>
                <w:rFonts w:ascii="Arial" w:hAnsi="Arial" w:cs="Arial"/>
                <w:b/>
              </w:rPr>
              <w:t>评分因素</w:t>
            </w:r>
          </w:p>
        </w:tc>
        <w:tc>
          <w:tcPr>
            <w:tcW w:w="6845" w:type="dxa"/>
            <w:noWrap w:val="0"/>
            <w:vAlign w:val="center"/>
          </w:tcPr>
          <w:p w14:paraId="14D528B2">
            <w:pPr>
              <w:ind w:firstLine="0" w:firstLineChars="0"/>
              <w:jc w:val="center"/>
              <w:rPr>
                <w:rFonts w:ascii="Arial" w:hAnsi="Arial" w:cs="Arial"/>
                <w:b/>
              </w:rPr>
            </w:pPr>
            <w:r>
              <w:rPr>
                <w:rFonts w:ascii="Arial" w:hAnsi="Arial" w:cs="Arial"/>
                <w:b/>
              </w:rPr>
              <w:t>评审标准</w:t>
            </w:r>
          </w:p>
        </w:tc>
      </w:tr>
      <w:tr w14:paraId="7C0D3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00" w:type="dxa"/>
            <w:gridSpan w:val="2"/>
            <w:vMerge w:val="restart"/>
            <w:noWrap w:val="0"/>
            <w:vAlign w:val="center"/>
          </w:tcPr>
          <w:p w14:paraId="124D3BBE">
            <w:pPr>
              <w:pStyle w:val="8"/>
              <w:kinsoku w:val="0"/>
              <w:overflowPunct w:val="0"/>
              <w:ind w:firstLine="0" w:firstLineChars="0"/>
              <w:jc w:val="center"/>
              <w:rPr>
                <w:rFonts w:ascii="Arial" w:hAnsi="Arial" w:cs="Arial"/>
              </w:rPr>
            </w:pPr>
            <w:r>
              <w:rPr>
                <w:rFonts w:ascii="Arial" w:hAnsi="Arial" w:cs="Arial"/>
              </w:rPr>
              <w:t>2.2.2</w:t>
            </w:r>
          </w:p>
          <w:p w14:paraId="077C6580">
            <w:pPr>
              <w:pStyle w:val="8"/>
              <w:kinsoku w:val="0"/>
              <w:overflowPunct w:val="0"/>
              <w:ind w:firstLine="0" w:firstLineChars="0"/>
              <w:jc w:val="center"/>
              <w:rPr>
                <w:rFonts w:ascii="Arial" w:hAnsi="Arial" w:cs="Arial"/>
              </w:rPr>
            </w:pPr>
            <w:r>
              <w:rPr>
                <w:rFonts w:ascii="Arial" w:hAnsi="Arial" w:cs="Arial"/>
              </w:rPr>
              <w:t>（1）</w:t>
            </w:r>
          </w:p>
        </w:tc>
        <w:tc>
          <w:tcPr>
            <w:tcW w:w="1123" w:type="dxa"/>
            <w:vMerge w:val="restart"/>
            <w:noWrap w:val="0"/>
            <w:vAlign w:val="center"/>
          </w:tcPr>
          <w:p w14:paraId="610E3CD8">
            <w:pPr>
              <w:pStyle w:val="8"/>
              <w:kinsoku w:val="0"/>
              <w:overflowPunct w:val="0"/>
              <w:ind w:firstLine="0" w:firstLineChars="0"/>
              <w:jc w:val="center"/>
              <w:rPr>
                <w:rFonts w:ascii="Arial" w:hAnsi="Arial" w:cs="Arial"/>
              </w:rPr>
            </w:pPr>
            <w:r>
              <w:rPr>
                <w:rFonts w:ascii="Arial" w:hAnsi="Arial" w:cs="Arial"/>
              </w:rPr>
              <w:t>商务评审标准（</w:t>
            </w:r>
            <w:r>
              <w:rPr>
                <w:rFonts w:hint="eastAsia" w:ascii="Arial" w:hAnsi="Arial" w:cs="Arial"/>
                <w:lang w:val="en-US" w:eastAsia="zh-CN"/>
              </w:rPr>
              <w:t>27</w:t>
            </w:r>
            <w:r>
              <w:rPr>
                <w:rFonts w:ascii="Arial" w:hAnsi="Arial" w:cs="Arial"/>
              </w:rPr>
              <w:t>分）</w:t>
            </w:r>
          </w:p>
        </w:tc>
        <w:tc>
          <w:tcPr>
            <w:tcW w:w="1300" w:type="dxa"/>
            <w:noWrap w:val="0"/>
            <w:vAlign w:val="center"/>
          </w:tcPr>
          <w:p w14:paraId="3E8F9993">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执业记录</w:t>
            </w:r>
          </w:p>
          <w:p w14:paraId="26DD6FB4">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（10分）</w:t>
            </w:r>
          </w:p>
        </w:tc>
        <w:tc>
          <w:tcPr>
            <w:tcW w:w="6845" w:type="dxa"/>
            <w:noWrap w:val="0"/>
            <w:vAlign w:val="center"/>
          </w:tcPr>
          <w:p w14:paraId="1BDC0FA2">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投标人自202</w:t>
            </w:r>
            <w:r>
              <w:rPr>
                <w:rFonts w:hint="eastAsia" w:ascii="Arial" w:hAnsi="Arial" w:cs="Arial"/>
                <w:spacing w:val="-2"/>
                <w:lang w:val="en-US" w:eastAsia="zh-CN"/>
              </w:rPr>
              <w:t>2</w:t>
            </w:r>
            <w:r>
              <w:rPr>
                <w:rFonts w:hint="eastAsia" w:ascii="Arial" w:hAnsi="Arial" w:cs="Arial"/>
                <w:spacing w:val="-2"/>
              </w:rPr>
              <w:t>年1月1日以来为中国境内金融机构提供审计服务的项目经验，提供一个项目即获得基础分4分，每多提供一个项目加2分，满分10分。</w:t>
            </w:r>
          </w:p>
          <w:p w14:paraId="1182DFB8">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合同以签订时间为准，能清晰反映项目名称、合同金额、合同执行时间、服务内容页及合同双方盖章等内容，提供合同复印件并加盖投标公章。如因保密性条款要求，无法提供合同及验收报告等相关材料复印件的，则需提供关于完成项目的案例描述文档，需重点展现该项目的完成过程及最终成果，并加盖投标人公章。各投标人对案例描述的真实性负责。</w:t>
            </w:r>
          </w:p>
        </w:tc>
      </w:tr>
      <w:tr w14:paraId="53005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900" w:type="dxa"/>
            <w:gridSpan w:val="2"/>
            <w:vMerge w:val="continue"/>
            <w:noWrap w:val="0"/>
            <w:vAlign w:val="center"/>
          </w:tcPr>
          <w:p w14:paraId="77F0CB59">
            <w:pPr>
              <w:pStyle w:val="8"/>
              <w:kinsoku w:val="0"/>
              <w:overflowPunct w:val="0"/>
              <w:ind w:firstLine="0" w:firstLineChars="0"/>
              <w:jc w:val="center"/>
              <w:rPr>
                <w:rFonts w:ascii="Arial" w:hAnsi="Arial" w:cs="Arial"/>
              </w:rPr>
            </w:pPr>
          </w:p>
        </w:tc>
        <w:tc>
          <w:tcPr>
            <w:tcW w:w="1123" w:type="dxa"/>
            <w:vMerge w:val="continue"/>
            <w:noWrap w:val="0"/>
            <w:vAlign w:val="center"/>
          </w:tcPr>
          <w:p w14:paraId="5AA7AA33">
            <w:pPr>
              <w:pStyle w:val="8"/>
              <w:kinsoku w:val="0"/>
              <w:overflowPunct w:val="0"/>
              <w:ind w:firstLine="0" w:firstLineChars="0"/>
              <w:jc w:val="center"/>
              <w:rPr>
                <w:rFonts w:ascii="Arial" w:hAnsi="Arial" w:cs="Arial"/>
              </w:rPr>
            </w:pPr>
          </w:p>
        </w:tc>
        <w:tc>
          <w:tcPr>
            <w:tcW w:w="1300" w:type="dxa"/>
            <w:noWrap w:val="0"/>
            <w:vAlign w:val="center"/>
          </w:tcPr>
          <w:p w14:paraId="2E78DBF3">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资质要求</w:t>
            </w:r>
          </w:p>
          <w:p w14:paraId="474F20C8">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（5分）</w:t>
            </w:r>
          </w:p>
        </w:tc>
        <w:tc>
          <w:tcPr>
            <w:tcW w:w="6845" w:type="dxa"/>
            <w:noWrap w:val="0"/>
            <w:vAlign w:val="center"/>
          </w:tcPr>
          <w:p w14:paraId="106E4539">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投标人需逐条满足以下资质要求，并提供加盖公章的无不良记录承诺书的得5分，否则不得分：</w:t>
            </w:r>
          </w:p>
          <w:p w14:paraId="29C2DE6B">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1、符合招标文件中规定的基本资质及具体规模条件；</w:t>
            </w:r>
          </w:p>
          <w:p w14:paraId="58A6ED84">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2、近3年未因违法违规行为被财政部、省级财政部门给予没收违法所得、罚款、暂停执行部分业务等行政处罚；</w:t>
            </w:r>
          </w:p>
          <w:p w14:paraId="39497CD0">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3、未被财政部、省级财政部门明确不适合承担金融企业审计工作；</w:t>
            </w:r>
          </w:p>
          <w:p w14:paraId="4AD74668">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4、投标人不能是正在接受国家有关部门审查、正在被其他企业兼并（或收购）或因重大经济纠纷正在进行诉讼或仲裁的企业；也不应是因腐败和欺诈行为而被有关部门宣布为不合格投标人的企业；</w:t>
            </w:r>
          </w:p>
          <w:p w14:paraId="10697930">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5、投标人不得有近3年内负责审计的金融企业存在重大损失、重大财务造假行为、金融企业或其负责人存在重大违法违规行为，会计师事务所已发现但未按照《中国注册会计师审计准则》和《中国注册会计师职业道德守则》相关规定履行关注、识别、评价等审计程序，或未按上述规定向金融企业审计委员会、董事会、监事会，或股东、同级财政部门、金融监管部门报告的行为。</w:t>
            </w:r>
          </w:p>
        </w:tc>
      </w:tr>
      <w:tr w14:paraId="44841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900" w:type="dxa"/>
            <w:gridSpan w:val="2"/>
            <w:vMerge w:val="continue"/>
            <w:noWrap w:val="0"/>
            <w:vAlign w:val="center"/>
          </w:tcPr>
          <w:p w14:paraId="55049DE9">
            <w:pPr>
              <w:pStyle w:val="8"/>
              <w:kinsoku w:val="0"/>
              <w:overflowPunct w:val="0"/>
              <w:ind w:firstLine="0" w:firstLineChars="0"/>
              <w:jc w:val="center"/>
              <w:rPr>
                <w:rFonts w:ascii="Arial" w:hAnsi="Arial" w:cs="Arial"/>
              </w:rPr>
            </w:pPr>
          </w:p>
        </w:tc>
        <w:tc>
          <w:tcPr>
            <w:tcW w:w="1123" w:type="dxa"/>
            <w:vMerge w:val="continue"/>
            <w:noWrap w:val="0"/>
            <w:vAlign w:val="center"/>
          </w:tcPr>
          <w:p w14:paraId="4B17933A">
            <w:pPr>
              <w:pStyle w:val="8"/>
              <w:kinsoku w:val="0"/>
              <w:overflowPunct w:val="0"/>
              <w:ind w:firstLine="0" w:firstLineChars="0"/>
              <w:jc w:val="center"/>
              <w:rPr>
                <w:rFonts w:ascii="Arial" w:hAnsi="Arial" w:cs="Arial"/>
              </w:rPr>
            </w:pPr>
          </w:p>
        </w:tc>
        <w:tc>
          <w:tcPr>
            <w:tcW w:w="1300" w:type="dxa"/>
            <w:noWrap w:val="0"/>
            <w:vAlign w:val="center"/>
          </w:tcPr>
          <w:p w14:paraId="51687E59">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人力及其他资源配备</w:t>
            </w:r>
          </w:p>
          <w:p w14:paraId="740BFD84">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w:t>
            </w:r>
            <w:r>
              <w:rPr>
                <w:rFonts w:hint="eastAsia" w:ascii="Arial" w:hAnsi="Arial" w:cs="Arial"/>
                <w:highlight w:val="none"/>
                <w:lang w:val="en-US" w:eastAsia="zh-CN"/>
              </w:rPr>
              <w:t>12</w:t>
            </w:r>
            <w:r>
              <w:rPr>
                <w:rFonts w:hint="eastAsia" w:ascii="Arial" w:hAnsi="Arial" w:cs="Arial"/>
                <w:highlight w:val="none"/>
              </w:rPr>
              <w:t>分）</w:t>
            </w:r>
          </w:p>
          <w:p w14:paraId="38EF321D">
            <w:pPr>
              <w:pStyle w:val="4"/>
              <w:ind w:firstLine="420"/>
              <w:jc w:val="center"/>
              <w:rPr>
                <w:rFonts w:hint="eastAsia" w:ascii="Arial" w:hAnsi="Arial" w:cs="Arial"/>
                <w:highlight w:val="none"/>
              </w:rPr>
            </w:pPr>
          </w:p>
        </w:tc>
        <w:tc>
          <w:tcPr>
            <w:tcW w:w="6845" w:type="dxa"/>
            <w:noWrap w:val="0"/>
            <w:vAlign w:val="center"/>
          </w:tcPr>
          <w:p w14:paraId="583DC017">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一档（0.1-4分）：项目领导人员（总负责人及各条线负责人）具备一定的沟通能力，有5年及以上从业经验，有2个及以上为中国境内金融机构提供审计服务的项目经验；</w:t>
            </w:r>
          </w:p>
          <w:p w14:paraId="2EDA48D1">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二档（4.1-8分）：项目领导人员（总负责人及各条线负责人）具备良好的沟通能力，有8年及以上从业经验，有3个及以上同类项目经验，项目团队成员具备2年及以上从业经验，参与过1-2个为中国境内金融机构提供审计服务的项目经验；</w:t>
            </w:r>
          </w:p>
          <w:p w14:paraId="2E36258B">
            <w:pPr>
              <w:pStyle w:val="8"/>
              <w:tabs>
                <w:tab w:val="left" w:pos="1889"/>
                <w:tab w:val="left" w:pos="2309"/>
              </w:tabs>
              <w:kinsoku w:val="0"/>
              <w:overflowPunct w:val="0"/>
              <w:ind w:firstLine="0" w:firstLineChars="0"/>
              <w:jc w:val="both"/>
              <w:rPr>
                <w:rFonts w:hint="eastAsia" w:ascii="Arial" w:hAnsi="Arial" w:cs="Arial"/>
                <w:spacing w:val="-2"/>
                <w:highlight w:val="yellow"/>
              </w:rPr>
            </w:pPr>
            <w:r>
              <w:rPr>
                <w:rFonts w:hint="eastAsia" w:ascii="Arial" w:hAnsi="Arial" w:cs="Arial"/>
                <w:spacing w:val="-2"/>
              </w:rPr>
              <w:t>三档（8.1-12分）：项目领导人员（总负责人及各条线负责人）具备优秀的沟通能力，有10年及以上从业经验，有4个及以上同类项目经验，项目团队成员具备3年及以上从业经验，参与过3个及以上为中国境内金融机构提供审计服务的项目经验。</w:t>
            </w:r>
          </w:p>
        </w:tc>
      </w:tr>
      <w:tr w14:paraId="2ED1D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jc w:val="center"/>
        </w:trPr>
        <w:tc>
          <w:tcPr>
            <w:tcW w:w="900" w:type="dxa"/>
            <w:gridSpan w:val="2"/>
            <w:vMerge w:val="restart"/>
            <w:noWrap w:val="0"/>
            <w:vAlign w:val="center"/>
          </w:tcPr>
          <w:p w14:paraId="5613F006">
            <w:pPr>
              <w:pStyle w:val="8"/>
              <w:kinsoku w:val="0"/>
              <w:overflowPunct w:val="0"/>
              <w:ind w:firstLine="0" w:firstLineChars="0"/>
              <w:jc w:val="center"/>
              <w:rPr>
                <w:rFonts w:ascii="Arial" w:hAnsi="Arial" w:cs="Arial"/>
              </w:rPr>
            </w:pPr>
            <w:r>
              <w:rPr>
                <w:rFonts w:ascii="Arial" w:hAnsi="Arial" w:cs="Arial"/>
              </w:rPr>
              <w:t>2.2.2</w:t>
            </w:r>
          </w:p>
          <w:p w14:paraId="332EE63C">
            <w:pPr>
              <w:pStyle w:val="8"/>
              <w:kinsoku w:val="0"/>
              <w:overflowPunct w:val="0"/>
              <w:ind w:firstLine="0" w:firstLineChars="0"/>
              <w:jc w:val="center"/>
              <w:rPr>
                <w:rFonts w:ascii="Arial" w:hAnsi="Arial" w:cs="Arial"/>
              </w:rPr>
            </w:pPr>
            <w:r>
              <w:rPr>
                <w:rFonts w:ascii="Arial" w:hAnsi="Arial" w:cs="Arial"/>
              </w:rPr>
              <w:t>（2）</w:t>
            </w:r>
          </w:p>
        </w:tc>
        <w:tc>
          <w:tcPr>
            <w:tcW w:w="1123" w:type="dxa"/>
            <w:vMerge w:val="restart"/>
            <w:noWrap w:val="0"/>
            <w:vAlign w:val="center"/>
          </w:tcPr>
          <w:p w14:paraId="01E218A9">
            <w:pPr>
              <w:ind w:firstLine="0" w:firstLineChars="0"/>
              <w:jc w:val="center"/>
              <w:rPr>
                <w:rFonts w:ascii="Arial" w:hAnsi="Arial" w:cs="Arial"/>
              </w:rPr>
            </w:pPr>
            <w:r>
              <w:rPr>
                <w:rFonts w:ascii="Arial" w:hAnsi="Arial" w:cs="Arial"/>
              </w:rPr>
              <w:t>技术评审标准（</w:t>
            </w:r>
            <w:r>
              <w:rPr>
                <w:rFonts w:hint="eastAsia" w:ascii="Arial" w:hAnsi="Arial" w:cs="Arial"/>
                <w:lang w:val="en-US" w:eastAsia="zh-CN"/>
              </w:rPr>
              <w:t>62</w:t>
            </w:r>
            <w:r>
              <w:rPr>
                <w:rFonts w:ascii="Arial" w:hAnsi="Arial" w:cs="Arial"/>
              </w:rPr>
              <w:t>分）</w:t>
            </w:r>
          </w:p>
        </w:tc>
        <w:tc>
          <w:tcPr>
            <w:tcW w:w="1300" w:type="dxa"/>
            <w:noWrap w:val="0"/>
            <w:vAlign w:val="center"/>
          </w:tcPr>
          <w:p w14:paraId="1CA6AFBB">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工作方案</w:t>
            </w:r>
          </w:p>
          <w:p w14:paraId="7B24AC4C">
            <w:pPr>
              <w:pStyle w:val="8"/>
              <w:kinsoku w:val="0"/>
              <w:overflowPunct w:val="0"/>
              <w:ind w:firstLine="0" w:firstLineChars="0"/>
              <w:jc w:val="center"/>
              <w:rPr>
                <w:rFonts w:hint="default" w:ascii="Arial" w:hAnsi="Arial" w:eastAsia="宋体" w:cs="Arial"/>
                <w:highlight w:val="none"/>
                <w:lang w:val="en-US" w:eastAsia="zh-CN"/>
              </w:rPr>
            </w:pPr>
            <w:r>
              <w:rPr>
                <w:rFonts w:hint="eastAsia" w:ascii="Arial" w:hAnsi="Arial" w:cs="Arial"/>
                <w:highlight w:val="none"/>
              </w:rPr>
              <w:t>（</w:t>
            </w:r>
            <w:r>
              <w:rPr>
                <w:rFonts w:hint="eastAsia" w:ascii="Arial" w:hAnsi="Arial" w:cs="Arial"/>
                <w:highlight w:val="none"/>
                <w:lang w:val="en-US" w:eastAsia="zh-CN"/>
              </w:rPr>
              <w:t>16</w:t>
            </w:r>
            <w:r>
              <w:rPr>
                <w:rFonts w:hint="eastAsia" w:ascii="Arial" w:hAnsi="Arial" w:cs="Arial"/>
                <w:highlight w:val="none"/>
              </w:rPr>
              <w:t>分）</w:t>
            </w:r>
          </w:p>
        </w:tc>
        <w:tc>
          <w:tcPr>
            <w:tcW w:w="6845" w:type="dxa"/>
            <w:noWrap w:val="0"/>
            <w:vAlign w:val="center"/>
          </w:tcPr>
          <w:p w14:paraId="55C55ACF">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一档（0.1-</w:t>
            </w:r>
            <w:r>
              <w:rPr>
                <w:rFonts w:hint="eastAsia" w:ascii="Arial" w:hAnsi="Arial" w:cs="Arial"/>
                <w:spacing w:val="-2"/>
                <w:lang w:val="en-US" w:eastAsia="zh-CN"/>
              </w:rPr>
              <w:t>5</w:t>
            </w:r>
            <w:r>
              <w:rPr>
                <w:rFonts w:hint="eastAsia" w:ascii="Arial" w:hAnsi="Arial" w:cs="Arial"/>
                <w:spacing w:val="-2"/>
              </w:rPr>
              <w:t>分）：项目方案中包含年度审计的实施目标、范围、计划、程序、时间和方法等基础内容；</w:t>
            </w:r>
          </w:p>
          <w:p w14:paraId="60ED8BC6">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二档（</w:t>
            </w:r>
            <w:r>
              <w:rPr>
                <w:rFonts w:hint="eastAsia" w:ascii="Arial" w:hAnsi="Arial" w:cs="Arial"/>
                <w:spacing w:val="-2"/>
                <w:lang w:val="en-US" w:eastAsia="zh-CN"/>
              </w:rPr>
              <w:t>5</w:t>
            </w:r>
            <w:r>
              <w:rPr>
                <w:rFonts w:hint="eastAsia" w:ascii="Arial" w:hAnsi="Arial" w:cs="Arial"/>
                <w:spacing w:val="-2"/>
              </w:rPr>
              <w:t>.1-</w:t>
            </w:r>
            <w:r>
              <w:rPr>
                <w:rFonts w:hint="eastAsia" w:ascii="Arial" w:hAnsi="Arial" w:cs="Arial"/>
                <w:spacing w:val="-2"/>
                <w:lang w:val="en-US" w:eastAsia="zh-CN"/>
              </w:rPr>
              <w:t>10</w:t>
            </w:r>
            <w:r>
              <w:rPr>
                <w:rFonts w:hint="eastAsia" w:ascii="Arial" w:hAnsi="Arial" w:cs="Arial"/>
                <w:spacing w:val="-2"/>
              </w:rPr>
              <w:t>分）：项目方案中包含年度审计的实施目标、范围、计划、程序、时间和方法等基础内容；延伸审计方案现场和非现场审计的机构及数量确定原则和方法；有工作和沟通机制，工作成果清单；</w:t>
            </w:r>
          </w:p>
          <w:p w14:paraId="100A34C0">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三档（</w:t>
            </w:r>
            <w:r>
              <w:rPr>
                <w:rFonts w:hint="eastAsia" w:ascii="Arial" w:hAnsi="Arial" w:cs="Arial"/>
                <w:spacing w:val="-2"/>
                <w:lang w:val="en-US" w:eastAsia="zh-CN"/>
              </w:rPr>
              <w:t>10</w:t>
            </w:r>
            <w:r>
              <w:rPr>
                <w:rFonts w:hint="eastAsia" w:ascii="Arial" w:hAnsi="Arial" w:cs="Arial"/>
                <w:spacing w:val="-2"/>
              </w:rPr>
              <w:t>.1-</w:t>
            </w:r>
            <w:r>
              <w:rPr>
                <w:rFonts w:hint="eastAsia" w:ascii="Arial" w:hAnsi="Arial" w:cs="Arial"/>
                <w:spacing w:val="-2"/>
                <w:lang w:val="en-US" w:eastAsia="zh-CN"/>
              </w:rPr>
              <w:t>16</w:t>
            </w:r>
            <w:r>
              <w:rPr>
                <w:rFonts w:hint="eastAsia" w:ascii="Arial" w:hAnsi="Arial" w:cs="Arial"/>
                <w:spacing w:val="-2"/>
              </w:rPr>
              <w:t>分）：项目方案中包含年度审计的实施目标、范围、计划、程序、时间和方法等基础内容；延伸有审计方案现场和非现场审计的机构及数量确定原则和方法；工作和沟通机制，工作成果清单；审计方案对于最新经济、金融形势及监管要求和潜在风险领域和新兴业务领域的关注响应情况；增值服务具有较强的针对性，并提供充足的资源以确保增值服务的质量。</w:t>
            </w:r>
          </w:p>
        </w:tc>
      </w:tr>
      <w:tr w14:paraId="1D495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jc w:val="center"/>
        </w:trPr>
        <w:tc>
          <w:tcPr>
            <w:tcW w:w="900" w:type="dxa"/>
            <w:gridSpan w:val="2"/>
            <w:vMerge w:val="continue"/>
            <w:noWrap w:val="0"/>
            <w:vAlign w:val="center"/>
          </w:tcPr>
          <w:p w14:paraId="6601C62A">
            <w:pPr>
              <w:pStyle w:val="8"/>
              <w:kinsoku w:val="0"/>
              <w:overflowPunct w:val="0"/>
              <w:ind w:firstLine="0" w:firstLineChars="0"/>
              <w:jc w:val="center"/>
              <w:rPr>
                <w:rFonts w:ascii="Arial" w:hAnsi="Arial" w:cs="Arial"/>
              </w:rPr>
            </w:pPr>
          </w:p>
        </w:tc>
        <w:tc>
          <w:tcPr>
            <w:tcW w:w="1123" w:type="dxa"/>
            <w:vMerge w:val="continue"/>
            <w:noWrap w:val="0"/>
            <w:vAlign w:val="center"/>
          </w:tcPr>
          <w:p w14:paraId="7080D07C">
            <w:pPr>
              <w:ind w:firstLine="0" w:firstLineChars="0"/>
              <w:jc w:val="center"/>
              <w:rPr>
                <w:rFonts w:ascii="Arial" w:hAnsi="Arial" w:cs="Arial"/>
              </w:rPr>
            </w:pPr>
          </w:p>
        </w:tc>
        <w:tc>
          <w:tcPr>
            <w:tcW w:w="1300" w:type="dxa"/>
            <w:noWrap w:val="0"/>
            <w:vAlign w:val="center"/>
          </w:tcPr>
          <w:p w14:paraId="351B51DD">
            <w:pPr>
              <w:pStyle w:val="8"/>
              <w:kinsoku w:val="0"/>
              <w:overflowPunct w:val="0"/>
              <w:ind w:firstLine="0" w:firstLineChars="0"/>
              <w:jc w:val="center"/>
              <w:rPr>
                <w:rFonts w:hint="eastAsia" w:ascii="Arial" w:hAnsi="Arial" w:cs="Arial"/>
                <w:highlight w:val="none"/>
              </w:rPr>
            </w:pPr>
            <w:r>
              <w:rPr>
                <w:rFonts w:hint="eastAsia" w:ascii="Arial" w:hAnsi="Arial" w:cs="Arial"/>
                <w:highlight w:val="none"/>
              </w:rPr>
              <w:t>质量</w:t>
            </w:r>
            <w:r>
              <w:rPr>
                <w:rFonts w:hint="eastAsia" w:ascii="Arial" w:hAnsi="Arial" w:cs="Arial"/>
                <w:highlight w:val="none"/>
                <w:lang w:val="en-US" w:eastAsia="zh-CN"/>
              </w:rPr>
              <w:t>管理</w:t>
            </w:r>
            <w:r>
              <w:rPr>
                <w:rFonts w:hint="eastAsia" w:ascii="Arial" w:hAnsi="Arial" w:cs="Arial"/>
                <w:highlight w:val="none"/>
              </w:rPr>
              <w:t>水平</w:t>
            </w:r>
          </w:p>
          <w:p w14:paraId="531ED3E2">
            <w:pPr>
              <w:pStyle w:val="8"/>
              <w:kinsoku w:val="0"/>
              <w:overflowPunct w:val="0"/>
              <w:ind w:firstLine="0" w:firstLineChars="0"/>
              <w:jc w:val="center"/>
              <w:rPr>
                <w:rFonts w:hint="default" w:ascii="Arial" w:hAnsi="Arial" w:eastAsia="宋体" w:cs="Arial"/>
                <w:highlight w:val="none"/>
                <w:lang w:val="en-US" w:eastAsia="zh-CN"/>
              </w:rPr>
            </w:pPr>
            <w:r>
              <w:rPr>
                <w:rFonts w:hint="eastAsia" w:ascii="Arial" w:hAnsi="Arial" w:cs="Arial"/>
                <w:highlight w:val="none"/>
              </w:rPr>
              <w:t>（</w:t>
            </w:r>
            <w:r>
              <w:rPr>
                <w:rFonts w:hint="eastAsia" w:ascii="Arial" w:hAnsi="Arial" w:cs="Arial"/>
                <w:highlight w:val="none"/>
                <w:lang w:val="en-US" w:eastAsia="zh-CN"/>
              </w:rPr>
              <w:t>40</w:t>
            </w:r>
            <w:r>
              <w:rPr>
                <w:rFonts w:hint="eastAsia" w:ascii="Arial" w:hAnsi="Arial" w:cs="Arial"/>
                <w:highlight w:val="none"/>
              </w:rPr>
              <w:t>分）</w:t>
            </w:r>
          </w:p>
        </w:tc>
        <w:tc>
          <w:tcPr>
            <w:tcW w:w="6845" w:type="dxa"/>
            <w:noWrap w:val="0"/>
            <w:vAlign w:val="center"/>
          </w:tcPr>
          <w:p w14:paraId="795DF6EA">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一档（0.1-1</w:t>
            </w:r>
            <w:r>
              <w:rPr>
                <w:rFonts w:hint="eastAsia" w:ascii="Arial" w:hAnsi="Arial" w:cs="Arial"/>
                <w:spacing w:val="-2"/>
                <w:lang w:val="en-US" w:eastAsia="zh-CN"/>
              </w:rPr>
              <w:t>3</w:t>
            </w:r>
            <w:r>
              <w:rPr>
                <w:rFonts w:hint="eastAsia" w:ascii="Arial" w:hAnsi="Arial" w:cs="Arial"/>
                <w:spacing w:val="-2"/>
              </w:rPr>
              <w:t xml:space="preserve">分）：有简单的内部质量控制方案、内部防火墙隔离机制，避免利益冲突的措施、保密制度和监督措施； </w:t>
            </w:r>
          </w:p>
          <w:p w14:paraId="104774B1">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二档（1</w:t>
            </w:r>
            <w:r>
              <w:rPr>
                <w:rFonts w:hint="eastAsia" w:ascii="Arial" w:hAnsi="Arial" w:cs="Arial"/>
                <w:spacing w:val="-2"/>
                <w:lang w:val="en-US" w:eastAsia="zh-CN"/>
              </w:rPr>
              <w:t>3</w:t>
            </w:r>
            <w:r>
              <w:rPr>
                <w:rFonts w:hint="eastAsia" w:ascii="Arial" w:hAnsi="Arial" w:cs="Arial"/>
                <w:spacing w:val="-2"/>
              </w:rPr>
              <w:t>.1-</w:t>
            </w:r>
            <w:r>
              <w:rPr>
                <w:rFonts w:hint="eastAsia" w:ascii="Arial" w:hAnsi="Arial" w:cs="Arial"/>
                <w:spacing w:val="-2"/>
                <w:lang w:val="en-US" w:eastAsia="zh-CN"/>
              </w:rPr>
              <w:t>26</w:t>
            </w:r>
            <w:r>
              <w:rPr>
                <w:rFonts w:hint="eastAsia" w:ascii="Arial" w:hAnsi="Arial" w:cs="Arial"/>
                <w:spacing w:val="-2"/>
              </w:rPr>
              <w:t>分）：有较为详尽的内部质量控制方案、内部防火墙隔离机制，避免利益冲突的措施、保密制度和监督措施，但仍存在一定漏洞的；</w:t>
            </w:r>
          </w:p>
          <w:p w14:paraId="0D814352">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三档（2</w:t>
            </w:r>
            <w:r>
              <w:rPr>
                <w:rFonts w:hint="eastAsia" w:ascii="Arial" w:hAnsi="Arial" w:cs="Arial"/>
                <w:spacing w:val="-2"/>
                <w:lang w:val="en-US" w:eastAsia="zh-CN"/>
              </w:rPr>
              <w:t>6</w:t>
            </w:r>
            <w:r>
              <w:rPr>
                <w:rFonts w:hint="eastAsia" w:ascii="Arial" w:hAnsi="Arial" w:cs="Arial"/>
                <w:spacing w:val="-2"/>
              </w:rPr>
              <w:t>.1-</w:t>
            </w:r>
            <w:r>
              <w:rPr>
                <w:rFonts w:hint="eastAsia" w:ascii="Arial" w:hAnsi="Arial" w:cs="Arial"/>
                <w:spacing w:val="-2"/>
                <w:lang w:val="en-US" w:eastAsia="zh-CN"/>
              </w:rPr>
              <w:t>40</w:t>
            </w:r>
            <w:r>
              <w:rPr>
                <w:rFonts w:hint="eastAsia" w:ascii="Arial" w:hAnsi="Arial" w:cs="Arial"/>
                <w:spacing w:val="-2"/>
              </w:rPr>
              <w:t>分）：有详实且完整的的内部质量控制方案、内部防火墙隔离机制，避免利益冲突的措施、保密制度和监督措施，且对项目独立性做出承诺；</w:t>
            </w:r>
          </w:p>
          <w:p w14:paraId="57AD5C31">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内部质量控制方案应涵盖项目咨询、意见分歧解决、项目质量复核、项目质量检查、质量管理缺陷识别与整改等方面内容</w:t>
            </w:r>
          </w:p>
        </w:tc>
      </w:tr>
      <w:tr w14:paraId="271C9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jc w:val="center"/>
        </w:trPr>
        <w:tc>
          <w:tcPr>
            <w:tcW w:w="900" w:type="dxa"/>
            <w:gridSpan w:val="2"/>
            <w:vMerge w:val="continue"/>
            <w:noWrap w:val="0"/>
            <w:vAlign w:val="center"/>
          </w:tcPr>
          <w:p w14:paraId="09C5DEF3">
            <w:pPr>
              <w:pStyle w:val="8"/>
              <w:kinsoku w:val="0"/>
              <w:overflowPunct w:val="0"/>
              <w:ind w:firstLine="0" w:firstLineChars="0"/>
              <w:jc w:val="center"/>
              <w:rPr>
                <w:rFonts w:ascii="Arial" w:hAnsi="Arial" w:cs="Arial"/>
              </w:rPr>
            </w:pPr>
          </w:p>
        </w:tc>
        <w:tc>
          <w:tcPr>
            <w:tcW w:w="1123" w:type="dxa"/>
            <w:vMerge w:val="continue"/>
            <w:noWrap w:val="0"/>
            <w:vAlign w:val="center"/>
          </w:tcPr>
          <w:p w14:paraId="0A1A8164">
            <w:pPr>
              <w:ind w:firstLine="0" w:firstLineChars="0"/>
              <w:jc w:val="center"/>
              <w:rPr>
                <w:rFonts w:ascii="Arial" w:hAnsi="Arial" w:cs="Arial"/>
              </w:rPr>
            </w:pPr>
          </w:p>
        </w:tc>
        <w:tc>
          <w:tcPr>
            <w:tcW w:w="1300" w:type="dxa"/>
            <w:noWrap w:val="0"/>
            <w:vAlign w:val="center"/>
          </w:tcPr>
          <w:p w14:paraId="0F63FA21">
            <w:pPr>
              <w:pStyle w:val="8"/>
              <w:kinsoku w:val="0"/>
              <w:overflowPunct w:val="0"/>
              <w:ind w:firstLine="0" w:firstLineChars="0"/>
              <w:jc w:val="center"/>
              <w:rPr>
                <w:rFonts w:hint="eastAsia" w:ascii="Arial" w:hAnsi="Arial" w:cs="Arial"/>
              </w:rPr>
            </w:pPr>
            <w:r>
              <w:rPr>
                <w:rFonts w:hint="eastAsia" w:ascii="Arial" w:hAnsi="Arial" w:cs="Arial"/>
              </w:rPr>
              <w:t>信息安全管理</w:t>
            </w:r>
          </w:p>
          <w:p w14:paraId="77AE2F2F">
            <w:pPr>
              <w:pStyle w:val="8"/>
              <w:kinsoku w:val="0"/>
              <w:overflowPunct w:val="0"/>
              <w:ind w:firstLine="0" w:firstLineChars="0"/>
              <w:jc w:val="center"/>
              <w:rPr>
                <w:rFonts w:hint="eastAsia" w:ascii="Arial" w:hAnsi="Arial" w:cs="Arial"/>
              </w:rPr>
            </w:pPr>
            <w:r>
              <w:rPr>
                <w:rFonts w:hint="eastAsia" w:ascii="Arial" w:hAnsi="Arial" w:cs="Arial"/>
              </w:rPr>
              <w:t>（3分）</w:t>
            </w:r>
          </w:p>
        </w:tc>
        <w:tc>
          <w:tcPr>
            <w:tcW w:w="6845" w:type="dxa"/>
            <w:noWrap w:val="0"/>
            <w:vAlign w:val="center"/>
          </w:tcPr>
          <w:p w14:paraId="71F639FE">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根据各投标人提供的信息安全管理措施进行评审：</w:t>
            </w:r>
          </w:p>
          <w:p w14:paraId="0DA8A9D0">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一档（0.1-1分）：在信息安全工作底稿数据保护方面采取措施较差</w:t>
            </w:r>
          </w:p>
          <w:p w14:paraId="6E23CC81">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二档（1.1-2分）：在信息安全工作底稿数据保护方面采取措施良好</w:t>
            </w:r>
          </w:p>
          <w:p w14:paraId="2499CA75">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三档（2.1-3分）：在信息安全工作底稿数据保护方面采取措施完善</w:t>
            </w:r>
          </w:p>
        </w:tc>
      </w:tr>
      <w:tr w14:paraId="4D314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900" w:type="dxa"/>
            <w:gridSpan w:val="2"/>
            <w:vMerge w:val="continue"/>
            <w:noWrap w:val="0"/>
            <w:vAlign w:val="center"/>
          </w:tcPr>
          <w:p w14:paraId="1C7F3291">
            <w:pPr>
              <w:pStyle w:val="8"/>
              <w:kinsoku w:val="0"/>
              <w:overflowPunct w:val="0"/>
              <w:ind w:firstLine="0" w:firstLineChars="0"/>
              <w:jc w:val="center"/>
              <w:rPr>
                <w:rFonts w:ascii="Arial" w:hAnsi="Arial" w:cs="Arial"/>
              </w:rPr>
            </w:pPr>
          </w:p>
        </w:tc>
        <w:tc>
          <w:tcPr>
            <w:tcW w:w="1123" w:type="dxa"/>
            <w:vMerge w:val="continue"/>
            <w:noWrap w:val="0"/>
            <w:vAlign w:val="center"/>
          </w:tcPr>
          <w:p w14:paraId="07333392">
            <w:pPr>
              <w:ind w:firstLine="0" w:firstLineChars="0"/>
              <w:jc w:val="center"/>
              <w:rPr>
                <w:rFonts w:ascii="Arial" w:hAnsi="Arial" w:cs="Arial"/>
              </w:rPr>
            </w:pPr>
          </w:p>
        </w:tc>
        <w:tc>
          <w:tcPr>
            <w:tcW w:w="1300" w:type="dxa"/>
            <w:noWrap w:val="0"/>
            <w:vAlign w:val="center"/>
          </w:tcPr>
          <w:p w14:paraId="6FBB1F9B">
            <w:pPr>
              <w:pStyle w:val="8"/>
              <w:kinsoku w:val="0"/>
              <w:overflowPunct w:val="0"/>
              <w:ind w:firstLine="0" w:firstLineChars="0"/>
              <w:jc w:val="center"/>
              <w:rPr>
                <w:rFonts w:hint="eastAsia" w:ascii="Arial" w:hAnsi="Arial" w:cs="Arial"/>
              </w:rPr>
            </w:pPr>
            <w:r>
              <w:rPr>
                <w:rFonts w:hint="eastAsia" w:ascii="Arial" w:hAnsi="Arial" w:cs="Arial"/>
              </w:rPr>
              <w:t>风险承担能力水平（3分）</w:t>
            </w:r>
          </w:p>
        </w:tc>
        <w:tc>
          <w:tcPr>
            <w:tcW w:w="6845" w:type="dxa"/>
            <w:noWrap w:val="0"/>
            <w:vAlign w:val="center"/>
          </w:tcPr>
          <w:p w14:paraId="274D2F01">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根据各投标人提供的最近三年经审计的财务报表进行风险承担能力水平评审：</w:t>
            </w:r>
          </w:p>
          <w:p w14:paraId="0DCF232D">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一档（0.1-1分）：风险承担能力水平较弱的；</w:t>
            </w:r>
          </w:p>
          <w:p w14:paraId="2518625B">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二档（1.1-2分）：风险承担能力水平一般的；</w:t>
            </w:r>
          </w:p>
          <w:p w14:paraId="4684BCB3">
            <w:pPr>
              <w:pStyle w:val="8"/>
              <w:tabs>
                <w:tab w:val="left" w:pos="1889"/>
                <w:tab w:val="left" w:pos="2309"/>
              </w:tabs>
              <w:kinsoku w:val="0"/>
              <w:overflowPunct w:val="0"/>
              <w:ind w:firstLine="0" w:firstLineChars="0"/>
              <w:jc w:val="both"/>
              <w:rPr>
                <w:rFonts w:hint="eastAsia" w:ascii="Arial" w:hAnsi="Arial" w:cs="Arial"/>
                <w:spacing w:val="-2"/>
              </w:rPr>
            </w:pPr>
            <w:r>
              <w:rPr>
                <w:rFonts w:hint="eastAsia" w:ascii="Arial" w:hAnsi="Arial" w:cs="Arial"/>
                <w:spacing w:val="-2"/>
              </w:rPr>
              <w:t>三档（2.1-</w:t>
            </w:r>
            <w:r>
              <w:rPr>
                <w:rFonts w:hint="eastAsia" w:ascii="Arial" w:hAnsi="Arial" w:cs="Arial"/>
                <w:spacing w:val="-2"/>
                <w:lang w:val="en-US" w:eastAsia="zh-CN"/>
              </w:rPr>
              <w:t>3</w:t>
            </w:r>
            <w:r>
              <w:rPr>
                <w:rFonts w:hint="eastAsia" w:ascii="Arial" w:hAnsi="Arial" w:cs="Arial"/>
                <w:spacing w:val="-2"/>
              </w:rPr>
              <w:t>分）：风险承担能力水平较强的。</w:t>
            </w:r>
          </w:p>
        </w:tc>
      </w:tr>
      <w:tr w14:paraId="1EA2E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2" w:hRule="atLeast"/>
          <w:jc w:val="center"/>
        </w:trPr>
        <w:tc>
          <w:tcPr>
            <w:tcW w:w="900" w:type="dxa"/>
            <w:gridSpan w:val="2"/>
            <w:noWrap w:val="0"/>
            <w:vAlign w:val="center"/>
          </w:tcPr>
          <w:p w14:paraId="320EEDEC">
            <w:pPr>
              <w:ind w:firstLine="0" w:firstLineChars="0"/>
              <w:jc w:val="center"/>
              <w:rPr>
                <w:rFonts w:ascii="Arial" w:hAnsi="Arial" w:cs="Arial"/>
              </w:rPr>
            </w:pPr>
            <w:r>
              <w:rPr>
                <w:rFonts w:ascii="Arial" w:hAnsi="Arial" w:cs="Arial"/>
              </w:rPr>
              <w:t>2.2.2（3）</w:t>
            </w:r>
          </w:p>
        </w:tc>
        <w:tc>
          <w:tcPr>
            <w:tcW w:w="1123" w:type="dxa"/>
            <w:noWrap w:val="0"/>
            <w:vAlign w:val="center"/>
          </w:tcPr>
          <w:p w14:paraId="1D67C281">
            <w:pPr>
              <w:ind w:firstLine="0" w:firstLineChars="0"/>
              <w:jc w:val="center"/>
              <w:rPr>
                <w:rFonts w:hint="default" w:ascii="Arial" w:hAnsi="Arial" w:eastAsia="宋体" w:cs="Arial"/>
                <w:highlight w:val="none"/>
                <w:lang w:val="en-US" w:eastAsia="zh-CN"/>
              </w:rPr>
            </w:pPr>
            <w:r>
              <w:rPr>
                <w:rFonts w:ascii="Arial" w:hAnsi="Arial" w:cs="Arial"/>
                <w:highlight w:val="none"/>
              </w:rPr>
              <w:t>投标报价评审标准（</w:t>
            </w:r>
            <w:r>
              <w:rPr>
                <w:rFonts w:hint="eastAsia" w:ascii="Arial" w:hAnsi="Arial" w:cs="Arial"/>
                <w:highlight w:val="none"/>
                <w:lang w:val="en-US" w:eastAsia="zh-CN"/>
              </w:rPr>
              <w:t>11</w:t>
            </w:r>
            <w:r>
              <w:rPr>
                <w:rFonts w:ascii="Arial" w:hAnsi="Arial" w:cs="Arial"/>
                <w:highlight w:val="none"/>
              </w:rPr>
              <w:t>分）</w:t>
            </w:r>
          </w:p>
        </w:tc>
        <w:tc>
          <w:tcPr>
            <w:tcW w:w="1300" w:type="dxa"/>
            <w:noWrap w:val="0"/>
            <w:vAlign w:val="center"/>
          </w:tcPr>
          <w:p w14:paraId="36AF2871">
            <w:pPr>
              <w:ind w:firstLine="0" w:firstLineChars="0"/>
              <w:jc w:val="center"/>
              <w:rPr>
                <w:rFonts w:ascii="Arial" w:hAnsi="Arial" w:cs="Arial"/>
                <w:highlight w:val="none"/>
              </w:rPr>
            </w:pPr>
            <w:r>
              <w:rPr>
                <w:rFonts w:ascii="Arial" w:hAnsi="Arial" w:cs="Arial"/>
                <w:highlight w:val="none"/>
              </w:rPr>
              <w:t>价格评价计算</w:t>
            </w:r>
          </w:p>
        </w:tc>
        <w:tc>
          <w:tcPr>
            <w:tcW w:w="6845" w:type="dxa"/>
            <w:noWrap w:val="0"/>
            <w:vAlign w:val="center"/>
          </w:tcPr>
          <w:p w14:paraId="7CB8AD1A">
            <w:pPr>
              <w:pStyle w:val="8"/>
              <w:tabs>
                <w:tab w:val="left" w:pos="1889"/>
                <w:tab w:val="left" w:pos="2309"/>
              </w:tabs>
              <w:kinsoku w:val="0"/>
              <w:overflowPunct w:val="0"/>
              <w:ind w:firstLine="0" w:firstLineChars="0"/>
              <w:jc w:val="both"/>
              <w:rPr>
                <w:rFonts w:hint="eastAsia" w:ascii="Arial" w:hAnsi="Arial" w:cs="Arial"/>
                <w:spacing w:val="-2"/>
                <w:highlight w:val="none"/>
              </w:rPr>
            </w:pPr>
            <w:r>
              <w:rPr>
                <w:rFonts w:hint="eastAsia" w:ascii="Arial" w:hAnsi="Arial" w:cs="Arial"/>
                <w:spacing w:val="-2"/>
                <w:highlight w:val="none"/>
              </w:rPr>
              <w:t>评标基准价：通过初步评审合格的所有投标人的有效投标总报价的算术平均值。</w:t>
            </w:r>
          </w:p>
          <w:p w14:paraId="26AEBB5E">
            <w:pPr>
              <w:pStyle w:val="8"/>
              <w:tabs>
                <w:tab w:val="left" w:pos="1889"/>
                <w:tab w:val="left" w:pos="2309"/>
              </w:tabs>
              <w:kinsoku w:val="0"/>
              <w:overflowPunct w:val="0"/>
              <w:ind w:firstLine="0" w:firstLineChars="0"/>
              <w:jc w:val="both"/>
              <w:rPr>
                <w:rFonts w:hint="eastAsia" w:ascii="Arial" w:hAnsi="Arial" w:eastAsia="宋体" w:cs="Arial"/>
                <w:highlight w:val="none"/>
                <w:lang w:eastAsia="zh-CN"/>
              </w:rPr>
            </w:pPr>
            <w:r>
              <w:rPr>
                <w:rFonts w:hint="eastAsia" w:ascii="Arial" w:hAnsi="Arial" w:cs="Arial"/>
                <w:spacing w:val="-2"/>
                <w:highlight w:val="none"/>
              </w:rPr>
              <w:t>报价得分=（1-∣评标基准价-投标总报价∣/评标基准价）×1</w:t>
            </w:r>
            <w:r>
              <w:rPr>
                <w:rFonts w:hint="eastAsia" w:ascii="Arial" w:hAnsi="Arial" w:cs="Arial"/>
                <w:spacing w:val="-2"/>
                <w:highlight w:val="none"/>
                <w:lang w:val="en-US" w:eastAsia="zh-CN"/>
              </w:rPr>
              <w:t>1</w:t>
            </w:r>
          </w:p>
        </w:tc>
      </w:tr>
      <w:tr w14:paraId="0163A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023" w:type="dxa"/>
            <w:gridSpan w:val="3"/>
            <w:noWrap w:val="0"/>
            <w:vAlign w:val="center"/>
          </w:tcPr>
          <w:p w14:paraId="77935B36">
            <w:pPr>
              <w:ind w:firstLine="0" w:firstLineChars="0"/>
              <w:jc w:val="center"/>
              <w:rPr>
                <w:rFonts w:ascii="Arial" w:hAnsi="Arial" w:cs="Arial"/>
              </w:rPr>
            </w:pPr>
            <w:r>
              <w:rPr>
                <w:rFonts w:ascii="Arial" w:hAnsi="Arial" w:cs="Arial"/>
              </w:rPr>
              <w:t>综合评价得分</w:t>
            </w:r>
          </w:p>
          <w:p w14:paraId="7C1768BA">
            <w:pPr>
              <w:ind w:firstLine="0" w:firstLineChars="0"/>
              <w:jc w:val="center"/>
              <w:rPr>
                <w:rFonts w:ascii="Arial" w:hAnsi="Arial" w:cs="Arial"/>
              </w:rPr>
            </w:pPr>
            <w:r>
              <w:rPr>
                <w:rFonts w:ascii="Arial" w:hAnsi="Arial" w:cs="Arial"/>
              </w:rPr>
              <w:t>（保留小数点后两位）</w:t>
            </w:r>
          </w:p>
        </w:tc>
        <w:tc>
          <w:tcPr>
            <w:tcW w:w="8145" w:type="dxa"/>
            <w:gridSpan w:val="2"/>
            <w:noWrap w:val="0"/>
            <w:vAlign w:val="center"/>
          </w:tcPr>
          <w:p w14:paraId="4AD0D03A">
            <w:pPr>
              <w:ind w:firstLine="0" w:firstLineChars="0"/>
              <w:rPr>
                <w:rFonts w:ascii="Arial" w:hAnsi="Arial" w:cs="Arial"/>
                <w:b/>
              </w:rPr>
            </w:pPr>
            <w:r>
              <w:rPr>
                <w:rFonts w:ascii="Arial" w:hAnsi="Arial" w:cs="Arial"/>
                <w:b/>
              </w:rPr>
              <w:t>综合评价得分=商务评分+技术评分+投标报价评分</w:t>
            </w:r>
          </w:p>
        </w:tc>
      </w:tr>
      <w:tr w14:paraId="09B1F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168" w:type="dxa"/>
            <w:gridSpan w:val="5"/>
            <w:noWrap w:val="0"/>
            <w:vAlign w:val="center"/>
          </w:tcPr>
          <w:p w14:paraId="12F9441F">
            <w:pPr>
              <w:ind w:firstLine="0" w:firstLineChars="0"/>
              <w:rPr>
                <w:rFonts w:ascii="Arial" w:hAnsi="Arial" w:cs="Arial"/>
              </w:rPr>
            </w:pPr>
            <w:r>
              <w:rPr>
                <w:rFonts w:ascii="Arial" w:hAnsi="Arial" w:cs="Arial"/>
              </w:rPr>
              <w:t>本前附表与第三章“评标办法”中对应的条款内容如有矛盾，应以本前附表为准。</w:t>
            </w:r>
          </w:p>
        </w:tc>
      </w:tr>
      <w:tr w14:paraId="7EA8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168" w:type="dxa"/>
            <w:gridSpan w:val="5"/>
            <w:noWrap w:val="0"/>
            <w:vAlign w:val="center"/>
          </w:tcPr>
          <w:p w14:paraId="4F4B0685">
            <w:pPr>
              <w:ind w:firstLine="0" w:firstLineChars="0"/>
              <w:rPr>
                <w:rFonts w:ascii="Arial" w:hAnsi="Arial" w:cs="Arial"/>
              </w:rPr>
            </w:pPr>
            <w:r>
              <w:t>评价标准需要分档时，应由评委在评分前根据评价准则及投标文件响应集体讨论确定各投标人的分档，然后在相应分档内独立打分。</w:t>
            </w:r>
          </w:p>
        </w:tc>
      </w:tr>
    </w:tbl>
    <w:p w14:paraId="7FFCC946"/>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ind w:firstLine="420"/>
      </w:pPr>
      <w:r>
        <w:separator/>
      </w:r>
    </w:p>
  </w:footnote>
  <w:footnote w:type="continuationSeparator" w:id="1">
    <w:p>
      <w:pPr>
        <w:spacing w:line="312"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504B1C"/>
    <w:rsid w:val="1E496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spacing w:line="312" w:lineRule="auto"/>
      <w:ind w:firstLine="1041" w:firstLineChars="200"/>
    </w:pPr>
    <w:rPr>
      <w:rFonts w:ascii="Times New Roman" w:hAnsi="Times New Roman" w:eastAsia="宋体" w:cs="Times New Roman"/>
      <w:sz w:val="21"/>
      <w:szCs w:val="21"/>
      <w:lang w:val="en-US" w:eastAsia="zh-CN" w:bidi="ar-SA"/>
    </w:rPr>
  </w:style>
  <w:style w:type="paragraph" w:styleId="2">
    <w:name w:val="heading 3"/>
    <w:basedOn w:val="1"/>
    <w:next w:val="1"/>
    <w:qFormat/>
    <w:uiPriority w:val="1"/>
    <w:pPr>
      <w:spacing w:before="61" w:line="312" w:lineRule="auto"/>
      <w:ind w:left="102" w:firstLine="0" w:firstLineChars="0"/>
      <w:outlineLvl w:val="2"/>
    </w:pPr>
    <w:rPr>
      <w:b/>
      <w:bCs/>
    </w:rPr>
  </w:style>
  <w:style w:type="paragraph" w:styleId="3">
    <w:name w:val="heading 4"/>
    <w:basedOn w:val="1"/>
    <w:next w:val="1"/>
    <w:qFormat/>
    <w:uiPriority w:val="1"/>
    <w:pPr>
      <w:ind w:left="102" w:firstLine="0" w:firstLineChars="0"/>
      <w:outlineLvl w:val="3"/>
    </w:pPr>
    <w:rPr>
      <w:rFonts w:ascii="Times New Roman" w:hAnsi="Times New Roman"/>
      <w:b/>
      <w:bCs/>
      <w:sz w:val="21"/>
      <w:szCs w:val="21"/>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index 8"/>
    <w:basedOn w:val="1"/>
    <w:next w:val="1"/>
    <w:qFormat/>
    <w:uiPriority w:val="0"/>
    <w:pPr>
      <w:ind w:left="2940"/>
    </w:pPr>
    <w:rPr>
      <w:rFonts w:ascii="Times New Roman" w:hAnsi="Times New Roman" w:eastAsia="宋体" w:cs="Times New Roman"/>
    </w:rPr>
  </w:style>
  <w:style w:type="paragraph" w:styleId="5">
    <w:name w:val="Body Text"/>
    <w:basedOn w:val="1"/>
    <w:next w:val="1"/>
    <w:qFormat/>
    <w:uiPriority w:val="1"/>
    <w:pPr>
      <w:spacing w:line="312" w:lineRule="auto"/>
      <w:ind w:left="0" w:firstLine="1041" w:firstLineChars="200"/>
    </w:pPr>
    <w:rPr>
      <w:rFonts w:ascii="Times New Roman" w:hAnsi="Times New Roman" w:eastAsia="宋体"/>
      <w:sz w:val="21"/>
      <w:szCs w:val="21"/>
    </w:r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4406</Words>
  <Characters>4577</Characters>
  <Lines>0</Lines>
  <Paragraphs>0</Paragraphs>
  <TotalTime>0</TotalTime>
  <ScaleCrop>false</ScaleCrop>
  <LinksUpToDate>false</LinksUpToDate>
  <CharactersWithSpaces>4595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2025-06-26T01:07:00Z</dcterms:created>
  <dc:creator>wu</dc:creator>
  <cp:lastModifiedBy>广西机电</cp:lastModifiedBy>
  <dcterms:modified xsi:type="dcterms:W3CDTF">2025-06-26T09:09:11Z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eyJoZGlkIjoiZWJlNmEyYjZkZGExM2UyM2M0NzJkOWE3ZjU1OGQ4YjQiLCJ1c2VySWQiOiIxNjUxNjQ0NjMyIn0=</vt:lpwstr>
  </property>
  <property fmtid="{D5CDD505-2E9C-101B-9397-08002B2CF9AE}" pid="4" name="ICV">
    <vt:lpwstr>A047F3C944E148A39D444F811DBE62B8_12</vt:lpwstr>
  </property>
</Properties>
</file>