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E175A5">
      <w:pPr>
        <w:jc w:val="center"/>
        <w:rPr>
          <w:rFonts w:hint="eastAsia" w:hAnsi="宋体"/>
          <w:b/>
          <w:bCs/>
          <w:color w:val="000000"/>
          <w:sz w:val="32"/>
          <w:szCs w:val="32"/>
        </w:rPr>
      </w:pPr>
      <w:bookmarkStart w:id="0" w:name="_GoBack"/>
      <w:bookmarkEnd w:id="0"/>
      <w:r>
        <w:rPr>
          <w:rFonts w:hint="eastAsia" w:hAnsi="宋体"/>
          <w:b/>
          <w:bCs/>
          <w:color w:val="000000"/>
          <w:sz w:val="32"/>
          <w:szCs w:val="32"/>
        </w:rPr>
        <w:t>商用密码应用安全性建设</w:t>
      </w:r>
      <w:r>
        <w:rPr>
          <w:rFonts w:hint="eastAsia" w:hAnsi="宋体"/>
          <w:b/>
          <w:bCs/>
          <w:color w:val="000000"/>
          <w:sz w:val="32"/>
          <w:szCs w:val="32"/>
        </w:rPr>
        <w:t>技术参数需求</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82"/>
      </w:tblGrid>
      <w:tr w14:paraId="0FBB9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5" w:hRule="atLeast"/>
        </w:trPr>
        <w:tc>
          <w:tcPr>
            <w:tcW w:w="10682" w:type="dxa"/>
            <w:shd w:val="clear" w:color="auto" w:fill="auto"/>
            <w:noWrap w:val="0"/>
            <w:vAlign w:val="top"/>
          </w:tcPr>
          <w:p w14:paraId="3F03D1EC">
            <w:pPr>
              <w:pStyle w:val="5"/>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8"/>
                <w:szCs w:val="28"/>
                <w:highlight w:val="none"/>
              </w:rPr>
              <w:t xml:space="preserve"> </w:t>
            </w:r>
            <w:r>
              <w:rPr>
                <w:rFonts w:hint="eastAsia" w:ascii="宋体" w:hAnsi="宋体" w:eastAsia="宋体" w:cs="宋体"/>
                <w:b/>
                <w:color w:val="auto"/>
                <w:sz w:val="24"/>
                <w:szCs w:val="24"/>
                <w:highlight w:val="none"/>
              </w:rPr>
              <w:t>一、整体要求</w:t>
            </w:r>
          </w:p>
          <w:p w14:paraId="03549C03">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整体要求为满足信息系统密码应用安全需求，本次商用密码基础设施建设以国密技术为核心，围绕访问控制、数据存储及业务签名等关键环节，通过部署合规设备与密码技术，构建覆盖数据全生命周期的安全防护体系。​</w:t>
            </w:r>
          </w:p>
          <w:p w14:paraId="038D907A">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在访问控制与数据存储安全领域，部署符合 GM/T 0028《密码模块安全技术要求》安全二级及以上标准的设备，配套使用国密算法实现重要数据的存储保护。针对应用系统访问控制信息及患者隐私、鉴别信息等重要数据，通过数据库加密机插件建立加密分区，采用 SM4 算法保障存储机密性，运用 HMAC-SM3 算法实现存储完整性保护，确保数据在存储环节的安全性与可靠性。​​</w:t>
            </w:r>
          </w:p>
          <w:p w14:paraId="3FCC0AB6">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系统集成层面，选用具备商用密码产品认证的设备，支持 SM2、SM3、SM4 等国密算法，符合多级密钥管理体系与安全审计要求，确保密码模块安全性达到国家相关标准。配套提供接口对接与运维服务，保障前置密码设备的稳定接入与全生命周期管理，实现国密技术在应用和数据安全层面的深度融合与合规落地</w:t>
            </w:r>
            <w:r>
              <w:rPr>
                <w:rFonts w:hint="eastAsia" w:ascii="宋体" w:hAnsi="宋体" w:eastAsia="宋体" w:cs="宋体"/>
                <w:color w:val="auto"/>
                <w:sz w:val="24"/>
                <w:szCs w:val="24"/>
                <w:highlight w:val="none"/>
              </w:rPr>
              <w:t>。</w:t>
            </w:r>
          </w:p>
          <w:p w14:paraId="7488A6D4">
            <w:pPr>
              <w:pStyle w:val="5"/>
              <w:keepNext w:val="0"/>
              <w:keepLines w:val="0"/>
              <w:pageBreakBefore w:val="0"/>
              <w:numPr>
                <w:ilvl w:val="0"/>
                <w:numId w:val="1"/>
              </w:numPr>
              <w:kinsoku/>
              <w:wordWrap/>
              <w:overflowPunct/>
              <w:topLinePunct w:val="0"/>
              <w:autoSpaceDE/>
              <w:autoSpaceDN/>
              <w:bidi w:val="0"/>
              <w:adjustRightInd/>
              <w:snapToGrid/>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需求参数</w:t>
            </w:r>
          </w:p>
          <w:tbl>
            <w:tblPr>
              <w:tblStyle w:val="1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05"/>
              <w:gridCol w:w="873"/>
              <w:gridCol w:w="8984"/>
            </w:tblGrid>
            <w:tr w14:paraId="32967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A22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84B8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名称</w:t>
                  </w:r>
                </w:p>
              </w:tc>
              <w:tc>
                <w:tcPr>
                  <w:tcW w:w="4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3891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参数</w:t>
                  </w:r>
                </w:p>
              </w:tc>
            </w:tr>
            <w:tr w14:paraId="08D61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76"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543B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E883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数据库透明加密</w:t>
                  </w:r>
                </w:p>
              </w:tc>
              <w:tc>
                <w:tcPr>
                  <w:tcW w:w="4293" w:type="pct"/>
                  <w:tcBorders>
                    <w:top w:val="nil"/>
                    <w:left w:val="single" w:color="000000" w:sz="4" w:space="0"/>
                    <w:bottom w:val="single" w:color="000000" w:sz="4" w:space="0"/>
                    <w:right w:val="single" w:color="000000" w:sz="4" w:space="0"/>
                  </w:tcBorders>
                  <w:shd w:val="clear" w:color="auto" w:fill="auto"/>
                  <w:vAlign w:val="center"/>
                </w:tcPr>
                <w:p w14:paraId="6B361ED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1.软硬件一体化设备数量≥1台，基于国产化的软硬件设计制造，千兆电口≥6个、网络接口扩展槽≥2个、CPU≥8核、内存≥64G、硬盘≥240GSSD+4T，冗余电源，内置高性能国密PCI-E密码卡，密码卡加密速率≥800Mbps/s。</w:t>
                  </w:r>
                  <w:r>
                    <w:rPr>
                      <w:rStyle w:val="22"/>
                      <w:rFonts w:hint="eastAsia" w:ascii="宋体" w:hAnsi="宋体" w:eastAsia="宋体" w:cs="宋体"/>
                      <w:color w:val="auto"/>
                      <w:sz w:val="24"/>
                      <w:szCs w:val="24"/>
                      <w:highlight w:val="none"/>
                      <w:lang w:val="en-US" w:eastAsia="zh-CN" w:bidi="ar"/>
                    </w:rPr>
                    <w:br w:type="textWrapping"/>
                  </w:r>
                  <w:r>
                    <w:rPr>
                      <w:rStyle w:val="22"/>
                      <w:rFonts w:hint="eastAsia" w:ascii="宋体" w:hAnsi="宋体" w:eastAsia="宋体" w:cs="宋体"/>
                      <w:color w:val="auto"/>
                      <w:sz w:val="24"/>
                      <w:szCs w:val="24"/>
                      <w:highlight w:val="none"/>
                      <w:lang w:val="en-US" w:eastAsia="zh-CN" w:bidi="ar"/>
                    </w:rPr>
                    <w:t>2.</w:t>
                  </w:r>
                  <w:r>
                    <w:rPr>
                      <w:rFonts w:hint="eastAsia" w:ascii="宋体" w:hAnsi="宋体" w:eastAsia="宋体" w:cs="宋体"/>
                      <w:i w:val="0"/>
                      <w:iCs w:val="0"/>
                      <w:color w:val="auto"/>
                      <w:kern w:val="0"/>
                      <w:sz w:val="24"/>
                      <w:szCs w:val="24"/>
                      <w:highlight w:val="none"/>
                      <w:u w:val="none"/>
                      <w:lang w:val="en-US" w:eastAsia="zh-CN" w:bidi="ar"/>
                    </w:rPr>
                    <w:t>▲</w:t>
                  </w:r>
                  <w:r>
                    <w:rPr>
                      <w:rStyle w:val="22"/>
                      <w:rFonts w:hint="eastAsia" w:ascii="宋体" w:hAnsi="宋体" w:eastAsia="宋体" w:cs="宋体"/>
                      <w:color w:val="auto"/>
                      <w:sz w:val="24"/>
                      <w:szCs w:val="24"/>
                      <w:highlight w:val="none"/>
                      <w:lang w:val="en-US" w:eastAsia="zh-CN" w:bidi="ar"/>
                    </w:rPr>
                    <w:t>提供数据库实例license≥30个，需考虑oracle rac、sqlserver集群对授权消耗</w:t>
                  </w:r>
                  <w:r>
                    <w:rPr>
                      <w:rFonts w:hint="eastAsia" w:ascii="宋体" w:hAnsi="宋体" w:eastAsia="宋体" w:cs="宋体"/>
                      <w:i w:val="0"/>
                      <w:iCs w:val="0"/>
                      <w:color w:val="auto"/>
                      <w:kern w:val="0"/>
                      <w:sz w:val="24"/>
                      <w:szCs w:val="24"/>
                      <w:highlight w:val="none"/>
                      <w:u w:val="none"/>
                      <w:lang w:val="en-US" w:eastAsia="zh-CN" w:bidi="ar"/>
                    </w:rPr>
                    <w:t>。加密后明文状态性能影响5%以内，密文状态性能影响20%以内。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3.能够实现武汉达梦（包括MPP、单机、主备模式）、山东瀚高HighGo DB、ORACLE（单机及RAC）、SQL SERVER、DB2、MySQL 、PostgreSQL、Elasticsearch、神通、teledb、hive、人大金仓、南大通用等数据库的透明加解密。</w:t>
                  </w:r>
                </w:p>
                <w:p w14:paraId="261BDB3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4.支持HA主备模式，当安全设备因宕机、系统本身主程序不可用、内存持续被占等问题导致不可用时，自动切换到另外一台安全设备进行运行。</w:t>
                  </w:r>
                </w:p>
                <w:p w14:paraId="21FA80C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 支持根据数据库查看加密资产的信息，以库加密、schema加密、表加密、列加密、表空间加密等维度查询当前的加密资产。</w:t>
                  </w:r>
                </w:p>
                <w:p w14:paraId="4FEEEE8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 ▲支持整库、表空间、schema、表、列等数据加密粒度；支持针对不同敏感等级的数据进行加密；支持SM3-HMAC国密验证算法，验证数据存储完整性，发生篡改时进行告警并记录告警时间、被篡改的目标对象。（逐项提供产品界面功能截图）</w:t>
                  </w:r>
                </w:p>
                <w:p w14:paraId="430DB0C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 ▲支持离线加解密工具及加密信息记录，记录包括用户名、邮箱、电话、加密内容、加密地址等。对敏感数据文件加密，保障数据交换传递或备份安全，接收方需获取授权并验证信息后才可将密文数据解密使用。（逐项提供产品界面功能截图）</w:t>
                  </w:r>
                </w:p>
                <w:p w14:paraId="45323AB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支持增量资产加密，支持新增列、表、schema、表空间的动态防护；支持以下特殊数据类型和索引类型的加密正常读写、等值查询和范围查询：BLOB数据、CLOB数据、IOT表的Mapping表、B*Tree索引、Bitmap索引、全局索引等；对于增删改查操作、函数、存储过程等均透明；对于主外键、NOTNULL等重要约束透明。</w:t>
                  </w:r>
                </w:p>
                <w:p w14:paraId="5ADAB59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9.▲无需修改应用系统代码，业务系统及数据库访问工具如PL/SQL、JDBC、ODBC等访问数据库时不受影响，实现透明加密。</w:t>
                  </w:r>
                </w:p>
                <w:p w14:paraId="3D00353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10.▲支持闪电加密模式，该模式下支持业务在线加密，实现业务不停机、数据库不停机。（提供产品界面功能截图，不需业务停机需提供证明）</w:t>
                  </w:r>
                </w:p>
                <w:p w14:paraId="67D36DF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支持基于身份的密文访问控制，身份要素至少包括应用名称、应用签名、IP地址、主机名、数据库用户等，根据用户权限进行数据库返回结果控制，只有拥有合法权限的数据库用户才可看到明文，无合法权限的用户返回经过加密数据或禁止访问。支持自定义加密访问管理方式，如业务系统提供明文访问模式；其他软件和对象提供明文及密文访问模式配置。返回密文支持加密（SM4）、空值、遮盖、随机映射等，可配置。</w:t>
                  </w:r>
                </w:p>
                <w:p w14:paraId="5789B55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12.▲支持根据数据库查看加密资产的信息，以表加密、列加密两个维度查询当前的加密资产，并记录所有加密的操作类型、操作结果、所用时长、操作账户。（逐项提供产品界面功能截图）</w:t>
                  </w:r>
                </w:p>
                <w:p w14:paraId="6E8E523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支持对数据库的登录行为进行审计，包括登录时间、规则名称、数据库用户、客户端IP、应用程序、数据库IP、响应行为等；支持对数据库的访问行为进行审计，包括访问时间、规则名称、客户端IP、数据库账户、数据库IP、SQL语句翻译、响应行为等；支持对系统证书登录事件进行审计，包括登录证书、登录用户、IP地址、MAC地址、应用名称等。提供自动审阅，自动审阅过的审计信息，再次出现将不需要再行审阅，依赖于审计信息可以提取访问规则，把规则加入至访问及订阅规则库。</w:t>
                  </w:r>
                </w:p>
                <w:p w14:paraId="7618B73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支持在管理端推送安装探针，支持对已安装的探针进行监控，至少应包含IP地址、当前状态、已安装的应用、操作系统、运行时长、CPU占用情况等。自动推送安装探针时，实时监控探针安装状态、探针安装的时间，如探针安装失败，需在页面以中文形式说明失败原因，便于快速进行错误排查。</w:t>
                  </w:r>
                </w:p>
                <w:p w14:paraId="08964F2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支持使用SM4国密算法对工作密钥进行加密。支持分层密钥管理体系，通过引入主密钥，加密工作密钥，生成可备份保存的加密密钥；支持密钥备份至本地离线保存；支持通过将密钥导入至系统，实现密钥恢复；进入加密平台后，需再次经过当前安全管理用户的密码校验后，才能进行密钥更新、备份、恢复操作；支持对密钥进行更新，使备份下载的旧密钥不可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16.▲支持旁路模式部署，无需更改网络结构，不采用网关模式部署。</w:t>
                  </w:r>
                </w:p>
                <w:p w14:paraId="4A4F5CD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17.▲设备断网、断电情况下，不影响业务系统正常读取、写入，具备应急解决方案。</w:t>
                  </w:r>
                </w:p>
              </w:tc>
            </w:tr>
            <w:tr w14:paraId="7A58A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E002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00DB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服务器密码机</w:t>
                  </w:r>
                </w:p>
              </w:tc>
              <w:tc>
                <w:tcPr>
                  <w:tcW w:w="4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E889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1.软硬件一体化设备数量≥1台，基于国产化的软硬件设计制造，千兆电口≥2个、内存≥32G、硬盘≥1T。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2.SM2数字签名速度≥7800次/秒、签名验证速度≥6200次/秒，SM2数字信封制作速度≥2800次/秒、验证速度≥3000次/秒。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3.支持对XML数据或文件（包括APK、PDF文件）进行签名、验签名（包括：XML封皮签名验签、XML封内签名验签、XML分离签名验签）。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4.支持针对数据原文制作数字签名，签名结构符合PKCS#1/ PKCS#7 Attach/ PKCS#7Detach等多种格式标准。支持验证PKCS#1/ PKCS#7 Attach/ PKCS#7Detach等多种格式的签名结果，能够对签名证书的信任域、有效期、证书状态等进行完整验证。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5.支持应用授权签名功能，通过签名数据身份转换技术，为有权调用此证书的用户进行身份的授权和提供数字签名服务。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6.支持大数据量（1GB以上）的数字签名。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7.支持数据加密/解密功能：实现对各类电子数据的数据加密功能，支持非对称加密、对称加密以及数字信封加密。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8.支持非对称算法：RSA、SM2、ED25519、SECP256R1、SECP256K1算法；支持摘要算法：SM3、MD5、SHA1、SHA256、SHA224、SHA384、SHA512；支持对称算法：SM4、DES、AES、3DES。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9.证书支持多种文件格式的导入和使用，包括：cer、ebcer、pfx、p12、 p7b、zip 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10.提供证书吊销列表（CRL）下载功能和证书有效性验证功能，自动完成按 CRL 发布时间和定时更新等多种方式进行CRL更新。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11.支持导入多级CA证书，证书级别不受限制；支持配置多信任 CA 签发的根证书，可验证不同 CA 机构签发的符合 PKCS#7 标准的签名、数字信封结果。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信任域列表（可信CA）管理，信任域可配置分别对CRL、OCSP进行验证；支持对机构证书列表进行添加、查看、修改、设置默认证书、删除、导入与导出、更新、用户证书授权、精确查询等操作。（提供产品界面功能截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具有监控功能：分为业务监控和系统监控两种，并以图形化方式展示。业务监控包括签名、验签、打信封和解信封业务，包括实时监控、监控历史、历史最高峰、历史业务量和业务预警，监控分为成功和失败两种状态各用蓝和红色表示，能够实现根据小时、天、月、年的方式查看历史业务量统计信息。系统监控包括 CPU、内存、硬盘和网络流量。（提供产品界面功能截图）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14.具备监控预警功能，能够按照预警值持续时间或频次进行邮件告警。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15.具备详细的日志记录能力，能够对业务日志、管理员日志、Debug日志、错误日志等进行配置，能够完整保留错误和故障日志并支持下载，错误日志内容应足够详细（如包含：验签原文、验签时间信息等）。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16.具备日志导出任务管理功能，能够查看审计日志导出任务，并显示当前全部任务运行完成的百分比，用户可以对已完成的任务中的日志进行下载和删除任务等管理操作。</w:t>
                  </w:r>
                </w:p>
                <w:p w14:paraId="6EED6EE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17.▲提供针对广西全民健康信息平台的接口对接服务，确保前置密码设备兼容广西全民健康信息平台。</w:t>
                  </w:r>
                </w:p>
                <w:p w14:paraId="6788A24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18.▲提供产品应通过广西全民健康信息平台国产商用密码应用医疗机构端前置密码设备接口对接测试。</w:t>
                  </w:r>
                </w:p>
              </w:tc>
            </w:tr>
          </w:tbl>
          <w:p w14:paraId="48575F38">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rPr>
                <w:rFonts w:hint="eastAsia" w:ascii="宋体" w:hAnsi="宋体" w:eastAsia="宋体" w:cs="宋体"/>
                <w:b/>
                <w:color w:val="auto"/>
                <w:sz w:val="24"/>
                <w:szCs w:val="24"/>
                <w:highlight w:val="none"/>
                <w:lang w:val="en-US" w:eastAsia="zh-CN"/>
              </w:rPr>
            </w:pPr>
          </w:p>
          <w:p w14:paraId="749A7C12">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color w:val="auto"/>
                <w:sz w:val="24"/>
                <w:szCs w:val="24"/>
                <w:highlight w:val="none"/>
                <w:lang w:val="en-US" w:eastAsia="zh-CN"/>
              </w:rPr>
            </w:pPr>
          </w:p>
          <w:p w14:paraId="43E7C85E">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技术要求</w:t>
            </w:r>
          </w:p>
          <w:p w14:paraId="6546765B">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信创支持条款</w:t>
            </w:r>
            <w:r>
              <w:rPr>
                <w:rStyle w:val="20"/>
                <w:rFonts w:hint="eastAsia" w:ascii="宋体" w:hAnsi="宋体" w:eastAsia="宋体" w:cs="宋体"/>
                <w:color w:val="auto"/>
                <w:sz w:val="24"/>
                <w:szCs w:val="24"/>
                <w:highlight w:val="none"/>
                <w:lang w:eastAsia="zh-CN"/>
              </w:rPr>
              <w:t>：</w:t>
            </w:r>
          </w:p>
          <w:p w14:paraId="494D4651">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软硬件兼容性：产品应支持兼容稳定运行于通过中国信息安全测评中心的安全可靠测评的国产操作系统、数据库、中间件及芯片环境中。</w:t>
            </w:r>
          </w:p>
          <w:p w14:paraId="698E04F5">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自主可控：系统关键软件和技术需具备自主可控能力，鼓励采用具有自主知识产权的技术方案，核心代码无国外技术封锁风险。</w:t>
            </w:r>
          </w:p>
          <w:p w14:paraId="01E2244F">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国密支持条款</w:t>
            </w:r>
            <w:r>
              <w:rPr>
                <w:rStyle w:val="20"/>
                <w:rFonts w:hint="eastAsia" w:ascii="宋体" w:hAnsi="宋体" w:eastAsia="宋体" w:cs="宋体"/>
                <w:color w:val="auto"/>
                <w:sz w:val="24"/>
                <w:szCs w:val="24"/>
                <w:highlight w:val="none"/>
                <w:lang w:eastAsia="zh-CN"/>
              </w:rPr>
              <w:t>：</w:t>
            </w:r>
            <w:r>
              <w:rPr>
                <w:rStyle w:val="20"/>
                <w:rFonts w:hint="eastAsia" w:ascii="宋体" w:hAnsi="宋体" w:eastAsia="宋体" w:cs="宋体"/>
                <w:color w:val="auto"/>
                <w:sz w:val="24"/>
                <w:szCs w:val="24"/>
                <w:highlight w:val="none"/>
                <w:lang w:val="en-US" w:eastAsia="zh-CN"/>
              </w:rPr>
              <w:t>系统应满足商用密码应用安全性评估的相关</w:t>
            </w:r>
            <w:r>
              <w:rPr>
                <w:rStyle w:val="20"/>
                <w:rFonts w:hint="eastAsia" w:ascii="宋体" w:hAnsi="宋体" w:eastAsia="宋体" w:cs="宋体"/>
                <w:color w:val="auto"/>
                <w:sz w:val="24"/>
                <w:szCs w:val="24"/>
                <w:highlight w:val="none"/>
              </w:rPr>
              <w:t>规范要求</w:t>
            </w:r>
            <w:r>
              <w:rPr>
                <w:rStyle w:val="20"/>
                <w:rFonts w:hint="eastAsia" w:ascii="宋体" w:hAnsi="宋体" w:eastAsia="宋体" w:cs="宋体"/>
                <w:color w:val="auto"/>
                <w:sz w:val="24"/>
                <w:szCs w:val="24"/>
                <w:highlight w:val="none"/>
                <w:lang w:eastAsia="zh-CN"/>
              </w:rPr>
              <w:t>，</w:t>
            </w:r>
            <w:r>
              <w:rPr>
                <w:rStyle w:val="20"/>
                <w:rFonts w:hint="eastAsia" w:ascii="宋体" w:hAnsi="宋体" w:eastAsia="宋体" w:cs="宋体"/>
                <w:color w:val="auto"/>
                <w:sz w:val="24"/>
                <w:szCs w:val="24"/>
                <w:highlight w:val="none"/>
                <w:lang w:val="en-US" w:eastAsia="zh-CN"/>
              </w:rPr>
              <w:t>包括但不限于：</w:t>
            </w:r>
          </w:p>
          <w:p w14:paraId="32769BA5">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密码算法：系统需</w:t>
            </w:r>
            <w:r>
              <w:rPr>
                <w:rStyle w:val="20"/>
                <w:rFonts w:hint="eastAsia" w:ascii="宋体" w:hAnsi="宋体" w:eastAsia="宋体" w:cs="宋体"/>
                <w:color w:val="auto"/>
                <w:sz w:val="24"/>
                <w:szCs w:val="24"/>
                <w:highlight w:val="none"/>
                <w:lang w:val="en-US" w:eastAsia="zh-CN"/>
              </w:rPr>
              <w:t>支持</w:t>
            </w:r>
            <w:r>
              <w:rPr>
                <w:rStyle w:val="20"/>
                <w:rFonts w:hint="eastAsia" w:ascii="宋体" w:hAnsi="宋体" w:eastAsia="宋体" w:cs="宋体"/>
                <w:color w:val="auto"/>
                <w:sz w:val="24"/>
                <w:szCs w:val="24"/>
                <w:highlight w:val="none"/>
              </w:rPr>
              <w:t>国家商用密码算法（SM2、SM3、SM4等）对敏感数据进行加密处理。</w:t>
            </w:r>
          </w:p>
          <w:p w14:paraId="1191833C">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密码设备兼容性：系统需支持与国产密码设备（密码卡/密码机）的集成和对接。</w:t>
            </w:r>
          </w:p>
          <w:p w14:paraId="42483A38">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合规性：产品需严格遵守国家密码管理相关法律法规，通过国家密码管理局或相关机构的合规性审查或认证。</w:t>
            </w:r>
          </w:p>
          <w:p w14:paraId="51733EF2">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须提供系统涉及的操作系统、数据库、中间件，并不再收费,涉及的中间件承建方应保证并提供所用均为正版。</w:t>
            </w:r>
          </w:p>
          <w:p w14:paraId="3BF0D17C">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要求项目必须在签订合同后的</w:t>
            </w:r>
            <w:r>
              <w:rPr>
                <w:rStyle w:val="20"/>
                <w:rFonts w:hint="eastAsia" w:ascii="宋体" w:hAnsi="宋体" w:eastAsia="宋体" w:cs="宋体"/>
                <w:color w:val="auto"/>
                <w:sz w:val="24"/>
                <w:szCs w:val="24"/>
                <w:highlight w:val="none"/>
                <w:lang w:val="en-US" w:eastAsia="zh-CN"/>
              </w:rPr>
              <w:t>3</w:t>
            </w:r>
            <w:r>
              <w:rPr>
                <w:rStyle w:val="20"/>
                <w:rFonts w:hint="eastAsia" w:ascii="宋体" w:hAnsi="宋体" w:eastAsia="宋体" w:cs="宋体"/>
                <w:color w:val="auto"/>
                <w:sz w:val="24"/>
                <w:szCs w:val="24"/>
                <w:highlight w:val="none"/>
              </w:rPr>
              <w:t>个月内完成建设（包括与其它业务系统的对接）</w:t>
            </w:r>
            <w:r>
              <w:rPr>
                <w:rStyle w:val="20"/>
                <w:rFonts w:hint="eastAsia" w:ascii="宋体" w:hAnsi="宋体" w:eastAsia="宋体" w:cs="宋体"/>
                <w:color w:val="auto"/>
                <w:sz w:val="24"/>
                <w:szCs w:val="24"/>
                <w:highlight w:val="none"/>
                <w:lang w:eastAsia="zh-CN"/>
              </w:rPr>
              <w:t>。</w:t>
            </w:r>
          </w:p>
          <w:p w14:paraId="7EFE3711">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lang w:val="en-US" w:eastAsia="zh-CN"/>
              </w:rPr>
              <w:t>系统硬件兼容性：系统服务器端应支持国内外主流服务器、存储等硬件产品，客户端应支持国内外主流桌面类硬件产品。</w:t>
            </w:r>
          </w:p>
          <w:p w14:paraId="25FC6351">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lang w:val="en-US" w:eastAsia="zh-CN"/>
              </w:rPr>
              <w:t>系统软件兼容性：系统应支持兼容国内外主流操作系统、数据库、应用中间件等软件，常见开源软件以及国内自主软件产品。</w:t>
            </w:r>
          </w:p>
          <w:p w14:paraId="2E23C52A">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lang w:val="en-US" w:eastAsia="zh-CN"/>
              </w:rPr>
              <w:t>操作系统：客户端应支持包括但不限于</w:t>
            </w:r>
            <w:r>
              <w:rPr>
                <w:rStyle w:val="20"/>
                <w:rFonts w:hint="eastAsia" w:ascii="宋体" w:hAnsi="宋体" w:eastAsia="宋体" w:cs="宋体"/>
                <w:color w:val="auto"/>
                <w:sz w:val="24"/>
                <w:szCs w:val="24"/>
                <w:highlight w:val="none"/>
              </w:rPr>
              <w:t>WINXP</w:t>
            </w:r>
            <w:r>
              <w:rPr>
                <w:rStyle w:val="20"/>
                <w:rFonts w:hint="eastAsia" w:ascii="宋体" w:hAnsi="宋体" w:eastAsia="宋体" w:cs="宋体"/>
                <w:color w:val="auto"/>
                <w:sz w:val="24"/>
                <w:szCs w:val="24"/>
                <w:highlight w:val="none"/>
                <w:lang w:val="en-US" w:eastAsia="zh-CN"/>
              </w:rPr>
              <w:t>及以上版本、银河麒麟、统信</w:t>
            </w:r>
            <w:r>
              <w:rPr>
                <w:rStyle w:val="20"/>
                <w:rFonts w:hint="eastAsia" w:ascii="宋体" w:hAnsi="宋体" w:eastAsia="宋体" w:cs="宋体"/>
                <w:color w:val="auto"/>
                <w:sz w:val="24"/>
                <w:szCs w:val="24"/>
                <w:highlight w:val="none"/>
              </w:rPr>
              <w:t>等</w:t>
            </w:r>
            <w:r>
              <w:rPr>
                <w:rStyle w:val="20"/>
                <w:rFonts w:hint="eastAsia" w:ascii="宋体" w:hAnsi="宋体" w:eastAsia="宋体" w:cs="宋体"/>
                <w:color w:val="auto"/>
                <w:sz w:val="24"/>
                <w:szCs w:val="24"/>
                <w:highlight w:val="none"/>
                <w:lang w:eastAsia="zh-CN"/>
              </w:rPr>
              <w:t>，</w:t>
            </w:r>
            <w:r>
              <w:rPr>
                <w:rStyle w:val="20"/>
                <w:rFonts w:hint="eastAsia" w:ascii="宋体" w:hAnsi="宋体" w:eastAsia="宋体" w:cs="宋体"/>
                <w:color w:val="auto"/>
                <w:sz w:val="24"/>
                <w:szCs w:val="24"/>
                <w:highlight w:val="none"/>
                <w:lang w:val="en-US" w:eastAsia="zh-CN"/>
              </w:rPr>
              <w:t>移动操作系统包括</w:t>
            </w:r>
            <w:r>
              <w:rPr>
                <w:rStyle w:val="20"/>
                <w:rFonts w:hint="eastAsia" w:ascii="宋体" w:hAnsi="宋体" w:eastAsia="宋体" w:cs="宋体"/>
                <w:color w:val="auto"/>
                <w:sz w:val="24"/>
                <w:szCs w:val="24"/>
                <w:highlight w:val="none"/>
              </w:rPr>
              <w:t>ios、安卓、鸿蒙</w:t>
            </w:r>
            <w:r>
              <w:rPr>
                <w:rStyle w:val="20"/>
                <w:rFonts w:hint="eastAsia" w:ascii="宋体" w:hAnsi="宋体" w:eastAsia="宋体" w:cs="宋体"/>
                <w:color w:val="auto"/>
                <w:sz w:val="24"/>
                <w:szCs w:val="24"/>
                <w:highlight w:val="none"/>
                <w:lang w:val="en-US" w:eastAsia="zh-CN"/>
              </w:rPr>
              <w:t>等，服务器端应支持包括但不限于主流WINDOWS、LINUX、银河麒麟、统信等操作系统。</w:t>
            </w:r>
          </w:p>
          <w:p w14:paraId="6A92FC13">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lang w:val="en-US" w:eastAsia="zh-CN"/>
              </w:rPr>
              <w:t>数据库：支持国内外主流数据库，包括但不限于MYSQL、SQLSERVER、ORACLE、达梦、人大金仓等类型数据库</w:t>
            </w:r>
          </w:p>
          <w:p w14:paraId="6E4055C2">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lang w:val="en-US" w:eastAsia="zh-CN"/>
              </w:rPr>
              <w:t>中间件：支持国内外主流中间件软件，包括但不限于NGINX、TOMCAT、IIS等。</w:t>
            </w:r>
          </w:p>
          <w:p w14:paraId="5DCF92DE">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lang w:val="en-US" w:eastAsia="zh-CN"/>
              </w:rPr>
              <w:t>浏览器：系统如采用BS架构，则应支持国内外主流浏览器软件，包括但不限于CHROME49及以上版本、IE8.0及以上版本等，以及支持国密算法与国密SSL协议的浏览器软件，包括但不限于360浏览器、奇安信等。</w:t>
            </w:r>
          </w:p>
          <w:p w14:paraId="4E275A14">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lang w:val="en-US" w:eastAsia="zh-CN"/>
              </w:rPr>
              <w:t>系统互联互通与集成功能要求：</w:t>
            </w:r>
          </w:p>
          <w:p w14:paraId="09888F47">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lang w:val="en-US" w:eastAsia="zh-CN"/>
              </w:rPr>
              <w:t>系统应</w:t>
            </w:r>
            <w:r>
              <w:rPr>
                <w:rStyle w:val="20"/>
                <w:rFonts w:hint="eastAsia" w:ascii="宋体" w:hAnsi="宋体" w:eastAsia="宋体" w:cs="宋体"/>
                <w:color w:val="auto"/>
                <w:sz w:val="24"/>
                <w:szCs w:val="24"/>
                <w:highlight w:val="none"/>
              </w:rPr>
              <w:t>满足“医院信息互联互通评价指标体系”五级乙等标准</w:t>
            </w:r>
            <w:r>
              <w:rPr>
                <w:rStyle w:val="20"/>
                <w:rFonts w:hint="eastAsia" w:ascii="宋体" w:hAnsi="宋体" w:eastAsia="宋体" w:cs="宋体"/>
                <w:color w:val="auto"/>
                <w:sz w:val="24"/>
                <w:szCs w:val="24"/>
                <w:highlight w:val="none"/>
                <w:lang w:val="en-US" w:eastAsia="zh-CN"/>
              </w:rPr>
              <w:t>的相关要求。</w:t>
            </w:r>
          </w:p>
          <w:p w14:paraId="4FE84F91">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按照医院要求，能实现与医院信息系统，包含但不限于HIS系统、医疗大数据中心等系统的互联互通、数据共享、系统集成</w:t>
            </w:r>
            <w:r>
              <w:rPr>
                <w:rStyle w:val="20"/>
                <w:rFonts w:hint="eastAsia" w:ascii="宋体" w:hAnsi="宋体" w:eastAsia="宋体" w:cs="宋体"/>
                <w:color w:val="auto"/>
                <w:sz w:val="24"/>
                <w:szCs w:val="24"/>
                <w:highlight w:val="none"/>
                <w:lang w:eastAsia="zh-CN"/>
              </w:rPr>
              <w:t>。</w:t>
            </w:r>
          </w:p>
          <w:p w14:paraId="213354F5">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系统基础数据</w:t>
            </w:r>
            <w:r>
              <w:rPr>
                <w:rStyle w:val="20"/>
                <w:rFonts w:hint="eastAsia" w:ascii="宋体" w:hAnsi="宋体" w:eastAsia="宋体" w:cs="宋体"/>
                <w:color w:val="auto"/>
                <w:sz w:val="24"/>
                <w:szCs w:val="24"/>
                <w:highlight w:val="none"/>
                <w:lang w:val="en-US" w:eastAsia="zh-CN"/>
              </w:rPr>
              <w:t>应对接</w:t>
            </w:r>
            <w:r>
              <w:rPr>
                <w:rStyle w:val="20"/>
                <w:rFonts w:hint="eastAsia" w:ascii="宋体" w:hAnsi="宋体" w:eastAsia="宋体" w:cs="宋体"/>
                <w:color w:val="auto"/>
                <w:sz w:val="24"/>
                <w:szCs w:val="24"/>
                <w:highlight w:val="none"/>
              </w:rPr>
              <w:t>医院信息集成平台主索引数据，保证医院信息系统基础数据的统一性；</w:t>
            </w:r>
            <w:r>
              <w:rPr>
                <w:rStyle w:val="20"/>
                <w:rFonts w:hint="eastAsia" w:ascii="宋体" w:hAnsi="宋体" w:eastAsia="宋体" w:cs="宋体"/>
                <w:color w:val="auto"/>
                <w:sz w:val="24"/>
                <w:szCs w:val="24"/>
                <w:highlight w:val="none"/>
                <w:lang w:val="en-US" w:eastAsia="zh-CN"/>
              </w:rPr>
              <w:t>并且系统应支持</w:t>
            </w:r>
            <w:r>
              <w:rPr>
                <w:rStyle w:val="20"/>
                <w:rFonts w:hint="eastAsia" w:ascii="宋体" w:hAnsi="宋体" w:eastAsia="宋体" w:cs="宋体"/>
                <w:color w:val="auto"/>
                <w:sz w:val="24"/>
                <w:szCs w:val="24"/>
                <w:highlight w:val="none"/>
              </w:rPr>
              <w:t>与医院</w:t>
            </w:r>
            <w:r>
              <w:rPr>
                <w:rStyle w:val="20"/>
                <w:rFonts w:hint="eastAsia" w:ascii="宋体" w:hAnsi="宋体" w:eastAsia="宋体" w:cs="宋体"/>
                <w:color w:val="auto"/>
                <w:sz w:val="24"/>
                <w:szCs w:val="24"/>
                <w:highlight w:val="none"/>
                <w:lang w:val="en-US" w:eastAsia="zh-CN"/>
              </w:rPr>
              <w:t>在用的</w:t>
            </w:r>
            <w:r>
              <w:rPr>
                <w:rStyle w:val="20"/>
                <w:rFonts w:hint="eastAsia" w:ascii="宋体" w:hAnsi="宋体" w:eastAsia="宋体" w:cs="宋体"/>
                <w:color w:val="auto"/>
                <w:sz w:val="24"/>
                <w:szCs w:val="24"/>
                <w:highlight w:val="none"/>
              </w:rPr>
              <w:t>单点登录系统实现无缝</w:t>
            </w:r>
            <w:r>
              <w:rPr>
                <w:rStyle w:val="20"/>
                <w:rFonts w:hint="eastAsia" w:ascii="宋体" w:hAnsi="宋体" w:eastAsia="宋体" w:cs="宋体"/>
                <w:color w:val="auto"/>
                <w:sz w:val="24"/>
                <w:szCs w:val="24"/>
                <w:highlight w:val="none"/>
                <w:lang w:val="en-US" w:eastAsia="zh-CN"/>
              </w:rPr>
              <w:t>对接</w:t>
            </w:r>
            <w:r>
              <w:rPr>
                <w:rStyle w:val="20"/>
                <w:rFonts w:hint="eastAsia" w:ascii="宋体" w:hAnsi="宋体" w:eastAsia="宋体" w:cs="宋体"/>
                <w:color w:val="auto"/>
                <w:sz w:val="24"/>
                <w:szCs w:val="24"/>
                <w:highlight w:val="none"/>
              </w:rPr>
              <w:t>集成；</w:t>
            </w:r>
          </w:p>
          <w:p w14:paraId="220319FE">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系统应开放端口</w:t>
            </w:r>
            <w:r>
              <w:rPr>
                <w:rStyle w:val="20"/>
                <w:rFonts w:hint="eastAsia" w:ascii="宋体" w:hAnsi="宋体" w:eastAsia="宋体" w:cs="宋体"/>
                <w:color w:val="auto"/>
                <w:sz w:val="24"/>
                <w:szCs w:val="24"/>
                <w:highlight w:val="none"/>
                <w:lang w:eastAsia="zh-CN"/>
              </w:rPr>
              <w:t>，</w:t>
            </w:r>
            <w:r>
              <w:rPr>
                <w:rStyle w:val="20"/>
                <w:rFonts w:hint="eastAsia" w:ascii="宋体" w:hAnsi="宋体" w:eastAsia="宋体" w:cs="宋体"/>
                <w:color w:val="auto"/>
                <w:sz w:val="24"/>
                <w:szCs w:val="24"/>
                <w:highlight w:val="none"/>
              </w:rPr>
              <w:t>并能按院方要求及标准进行系统集成对接</w:t>
            </w:r>
            <w:r>
              <w:rPr>
                <w:rStyle w:val="20"/>
                <w:rFonts w:hint="eastAsia" w:ascii="宋体" w:hAnsi="宋体" w:eastAsia="宋体" w:cs="宋体"/>
                <w:color w:val="auto"/>
                <w:sz w:val="24"/>
                <w:szCs w:val="24"/>
                <w:highlight w:val="none"/>
                <w:lang w:eastAsia="zh-CN"/>
              </w:rPr>
              <w:t>，</w:t>
            </w:r>
            <w:r>
              <w:rPr>
                <w:rStyle w:val="20"/>
                <w:rFonts w:hint="eastAsia" w:ascii="宋体" w:hAnsi="宋体" w:eastAsia="宋体" w:cs="宋体"/>
                <w:color w:val="auto"/>
                <w:sz w:val="24"/>
                <w:szCs w:val="24"/>
                <w:highlight w:val="none"/>
              </w:rPr>
              <w:t>实现与我院各信息系统无缝连接，支持多种灵活的对接方式，</w:t>
            </w:r>
            <w:r>
              <w:rPr>
                <w:rStyle w:val="20"/>
                <w:rFonts w:hint="eastAsia" w:ascii="宋体" w:hAnsi="宋体" w:eastAsia="宋体" w:cs="宋体"/>
                <w:color w:val="auto"/>
                <w:sz w:val="24"/>
                <w:szCs w:val="24"/>
                <w:highlight w:val="none"/>
                <w:lang w:val="en-US" w:eastAsia="zh-CN"/>
              </w:rPr>
              <w:t>支持包括但不限于</w:t>
            </w:r>
            <w:r>
              <w:rPr>
                <w:rStyle w:val="20"/>
                <w:rFonts w:hint="eastAsia" w:ascii="宋体" w:hAnsi="宋体" w:eastAsia="宋体" w:cs="宋体"/>
                <w:color w:val="auto"/>
                <w:sz w:val="24"/>
                <w:szCs w:val="24"/>
                <w:highlight w:val="none"/>
              </w:rPr>
              <w:t>webservice、webapi等接口服务接入集成方式</w:t>
            </w:r>
            <w:r>
              <w:rPr>
                <w:rStyle w:val="20"/>
                <w:rFonts w:hint="eastAsia" w:ascii="宋体" w:hAnsi="宋体" w:eastAsia="宋体" w:cs="宋体"/>
                <w:color w:val="auto"/>
                <w:sz w:val="24"/>
                <w:szCs w:val="24"/>
                <w:highlight w:val="none"/>
                <w:lang w:val="en-US" w:eastAsia="zh-CN"/>
              </w:rPr>
              <w:t>接入方式</w:t>
            </w:r>
            <w:r>
              <w:rPr>
                <w:rStyle w:val="20"/>
                <w:rFonts w:hint="eastAsia" w:ascii="宋体" w:hAnsi="宋体" w:eastAsia="宋体" w:cs="宋体"/>
                <w:color w:val="auto"/>
                <w:sz w:val="24"/>
                <w:szCs w:val="24"/>
                <w:highlight w:val="none"/>
              </w:rPr>
              <w:t>。</w:t>
            </w:r>
          </w:p>
          <w:p w14:paraId="2A27B8D0">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承建方中标后应当按照医院要求提供各项技术文档，包括但不限于建设方案、项目管理文档、产品文档、所有数据库表结构及详细说明文档等相关文档资料。</w:t>
            </w:r>
          </w:p>
          <w:p w14:paraId="554C6475">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保证数据的开放性，如存在加密数据，需提供解密方法。</w:t>
            </w:r>
          </w:p>
          <w:p w14:paraId="32B204D2">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系统扩展性好，便于二次开发。</w:t>
            </w:r>
          </w:p>
          <w:p w14:paraId="152E1F69">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异常处理机制完善，有清晰明确的报错信息:有详细的日志记录，便于排查问题。</w:t>
            </w:r>
          </w:p>
          <w:p w14:paraId="7177FC42">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系统可配置性高，能通过配置文件完成各种功能、参数的设置。</w:t>
            </w:r>
          </w:p>
          <w:p w14:paraId="76C26862">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提供自动保护功能，当故障发生时自动保护当前所有状态,保证系统能够进行恢复。</w:t>
            </w:r>
          </w:p>
          <w:p w14:paraId="78D738F5">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系统涉及的所有数据应具有完善的隐私保护机制，保护数据安全，且相关数据只能用于本单位的相关业务中。包括但不限于系统在数据传输及存储过程中应支持通过脱敏、加密方式（如SM2、SM3、SM4等算法）对敏感及隐私数据进行处理，系统的用户权限管理设定应当遵循最小授权原则，系统应具备合理的数据备份与恢复机制，确保数据不丢失。</w:t>
            </w:r>
          </w:p>
          <w:p w14:paraId="37E7A503">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系统应满足访问控制、安全审计、剩余信息保护、软件容错等信息系统安全等级保护(三级等保)的相关规范要求，包括但不限于在系统设计与建设时应充分考虑数据的完整性保护，应支持多因素认证方式，应提供详细的系统应急预案及应急演练计划，包括但不限于故障恢复步骤、应急响应时间、备份方案等，并定期进行演练。</w:t>
            </w:r>
          </w:p>
          <w:p w14:paraId="644FFD4A">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系统运行稳定，业务处理高性能快速响应，界面友好，操作简便。系统应支持7*24小时运行，在并发性能上要以满足医院辖区下所有医疗机构同时使用，系统操作不能出现明显的延迟为目标进行设计及建设。在系统设计和建设时应当充分考虑医院未来5年业务增长的需求，确保系统的扩展性和可配置性。</w:t>
            </w:r>
          </w:p>
          <w:p w14:paraId="3EFCFAC8">
            <w:pPr>
              <w:pStyle w:val="21"/>
              <w:keepNext w:val="0"/>
              <w:keepLines w:val="0"/>
              <w:pageBreakBefore w:val="0"/>
              <w:widowControl w:val="0"/>
              <w:numPr>
                <w:ilvl w:val="0"/>
                <w:numId w:val="2"/>
              </w:numPr>
              <w:kinsoku/>
              <w:wordWrap/>
              <w:overflowPunct/>
              <w:topLinePunct w:val="0"/>
              <w:autoSpaceDE/>
              <w:autoSpaceDN/>
              <w:bidi w:val="0"/>
              <w:adjustRightInd/>
              <w:snapToGrid/>
              <w:spacing w:after="0" w:line="360" w:lineRule="auto"/>
              <w:ind w:left="283" w:leftChars="0" w:hanging="283" w:firstLineChars="0"/>
              <w:textAlignment w:val="auto"/>
              <w:rPr>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系统不能在账号个数、使用期限、使用范围等方面做出任何软件硬件限制，医院及辖区所有医疗机构不受限制地使用系统所有功能。</w:t>
            </w:r>
          </w:p>
          <w:p w14:paraId="05C458BE">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、商务要求</w:t>
            </w:r>
          </w:p>
          <w:p w14:paraId="1853AE35">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提供主流品牌的全新货品，禁止提供水货、套货、换货、二手、囤积品或非本区域销售的产品。</w:t>
            </w:r>
          </w:p>
          <w:p w14:paraId="1ECF58E5">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本项目所有的设备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系统</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年质保时间，对所有零部件提供质保，对所有固件提供升级维护服务。</w:t>
            </w:r>
          </w:p>
          <w:p w14:paraId="6DB8F27A">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供货商</w:t>
            </w:r>
            <w:r>
              <w:rPr>
                <w:rFonts w:hint="eastAsia" w:ascii="宋体" w:hAnsi="宋体" w:eastAsia="宋体" w:cs="宋体"/>
                <w:color w:val="auto"/>
                <w:sz w:val="24"/>
                <w:szCs w:val="24"/>
                <w:highlight w:val="none"/>
                <w:lang w:val="en-US" w:eastAsia="zh-CN"/>
              </w:rPr>
              <w:t>具备</w:t>
            </w:r>
            <w:r>
              <w:rPr>
                <w:rFonts w:hint="eastAsia" w:ascii="宋体" w:hAnsi="宋体" w:eastAsia="宋体" w:cs="宋体"/>
                <w:color w:val="auto"/>
                <w:sz w:val="24"/>
                <w:szCs w:val="24"/>
                <w:highlight w:val="none"/>
              </w:rPr>
              <w:t>上门服务维保团队，提供上门安装和实施服务、更换、维护、维修和换新服务，不收服务费。如出现故障在接到报告</w:t>
            </w:r>
            <w:r>
              <w:rPr>
                <w:rFonts w:hint="eastAsia" w:ascii="宋体" w:hAnsi="宋体" w:eastAsia="宋体" w:cs="宋体"/>
                <w:i w:val="0"/>
                <w:iCs w:val="0"/>
                <w:color w:val="auto"/>
                <w:kern w:val="0"/>
                <w:sz w:val="24"/>
                <w:szCs w:val="24"/>
                <w:highlight w:val="none"/>
                <w:u w:val="none"/>
                <w:lang w:val="en-US" w:eastAsia="zh-CN" w:bidi="ar"/>
              </w:rPr>
              <w:t>20分钟到场处理故障</w:t>
            </w:r>
            <w:r>
              <w:rPr>
                <w:rFonts w:hint="eastAsia" w:ascii="宋体" w:hAnsi="宋体" w:eastAsia="宋体" w:cs="宋体"/>
                <w:color w:val="auto"/>
                <w:sz w:val="24"/>
                <w:szCs w:val="24"/>
                <w:highlight w:val="none"/>
              </w:rPr>
              <w:t>，无需复杂的拍照上传过程，无论故障类型不得收上门费。</w:t>
            </w:r>
          </w:p>
          <w:p w14:paraId="0CC12066">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安排技术人员进行技术培训，具体培训时间、地点以用户认可为准，提供有关设备安装、操作、维护和基本排障，以及配套功能特性的使用的文档和培训。</w:t>
            </w:r>
          </w:p>
          <w:p w14:paraId="5BD83151">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5.▲所有涉及密码模块的设备必须提供国家密码管理局颁发的《商用密码产品认证证书》，并符合GM/T0028《密码模块安全技术要求》第二级及以上要求。</w:t>
            </w:r>
            <w:r>
              <w:rPr>
                <w:rFonts w:hint="eastAsia" w:ascii="宋体" w:hAnsi="宋体" w:eastAsia="宋体" w:cs="宋体"/>
                <w:b/>
                <w:bCs/>
                <w:color w:val="auto"/>
                <w:sz w:val="24"/>
                <w:szCs w:val="24"/>
                <w:highlight w:val="none"/>
                <w:lang w:val="en-US" w:eastAsia="zh-CN"/>
              </w:rPr>
              <w:t>（需提供证明材料）</w:t>
            </w:r>
          </w:p>
          <w:p w14:paraId="5537046C">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、CPU</w:t>
            </w:r>
            <w:r>
              <w:rPr>
                <w:rFonts w:hint="eastAsia" w:ascii="宋体" w:hAnsi="宋体" w:eastAsia="宋体" w:cs="宋体"/>
                <w:color w:val="auto"/>
                <w:sz w:val="24"/>
                <w:szCs w:val="24"/>
                <w:highlight w:val="none"/>
                <w:lang w:val="en-US" w:eastAsia="zh-CN"/>
              </w:rPr>
              <w:t>与</w:t>
            </w:r>
            <w:r>
              <w:rPr>
                <w:rFonts w:hint="eastAsia" w:ascii="宋体" w:hAnsi="宋体" w:eastAsia="宋体" w:cs="宋体"/>
                <w:color w:val="auto"/>
                <w:sz w:val="24"/>
                <w:szCs w:val="24"/>
                <w:highlight w:val="none"/>
              </w:rPr>
              <w:t>密码卡核心部件</w:t>
            </w:r>
            <w:r>
              <w:rPr>
                <w:rFonts w:hint="eastAsia" w:ascii="宋体" w:hAnsi="宋体" w:eastAsia="宋体" w:cs="宋体"/>
                <w:color w:val="auto"/>
                <w:sz w:val="24"/>
                <w:szCs w:val="24"/>
                <w:highlight w:val="none"/>
                <w:lang w:val="en-US" w:eastAsia="zh-CN"/>
              </w:rPr>
              <w:t>应使用</w:t>
            </w:r>
            <w:r>
              <w:rPr>
                <w:rFonts w:hint="eastAsia" w:ascii="宋体" w:hAnsi="宋体" w:eastAsia="宋体" w:cs="宋体"/>
                <w:color w:val="auto"/>
                <w:sz w:val="24"/>
                <w:szCs w:val="24"/>
                <w:highlight w:val="none"/>
              </w:rPr>
              <w:t>国产化硬件，满足国家关于信创工作的要求，符合信创要求设备优先。</w:t>
            </w:r>
          </w:p>
          <w:p w14:paraId="21B841EC">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中标人需在服务期内（自合同签订之日起3个月内）完成商用密码改造，并配合院方向密码管理部门申请备案，最终取得密码管理部门出具的《商用密码应用安全性评估结果备案证明》或同等效力的备案证明文件。改造需符合《商用密码管理条例》《信息安全技术商用密码应用安全性评估规则》（GB/T39786）等现行法规及技术标准。中标人应全程协助采购人准备备案材料、配合现场评估，若密码管理部门提出整改要求，中标人须在收到整改通知后30日内完成整改。</w:t>
            </w:r>
          </w:p>
          <w:p w14:paraId="3143B5E1">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8.本项目是“交钥匙工程”，供应商免费提供建设所需的所有施工的建材、物料、耗材、器械，并安排技术人员和施工队完成所有施工建设工作，全流程包工包料。</w:t>
            </w:r>
          </w:p>
          <w:p w14:paraId="6FD80941">
            <w:pPr>
              <w:pStyle w:val="5"/>
              <w:spacing w:line="360" w:lineRule="auto"/>
              <w:rPr>
                <w:rFonts w:hint="eastAsia" w:ascii="宋体" w:hAnsi="宋体" w:eastAsia="宋体" w:cs="宋体"/>
                <w:bCs/>
                <w:color w:val="auto"/>
                <w:sz w:val="28"/>
                <w:szCs w:val="28"/>
                <w:highlight w:val="none"/>
              </w:rPr>
            </w:pPr>
          </w:p>
        </w:tc>
      </w:tr>
    </w:tbl>
    <w:p w14:paraId="35167871">
      <w:pPr>
        <w:pStyle w:val="5"/>
        <w:spacing w:line="360" w:lineRule="auto"/>
        <w:rPr>
          <w:rFonts w:hint="eastAsia" w:hAnsi="宋体"/>
          <w:b/>
          <w:bCs/>
          <w:color w:val="000000"/>
          <w:sz w:val="32"/>
          <w:szCs w:val="32"/>
        </w:rPr>
      </w:pPr>
    </w:p>
    <w:sectPr>
      <w:headerReference r:id="rId3" w:type="default"/>
      <w:footerReference r:id="rId4" w:type="default"/>
      <w:footerReference r:id="rId5" w:type="even"/>
      <w:pgSz w:w="11906" w:h="16838"/>
      <w:pgMar w:top="720" w:right="720" w:bottom="720" w:left="72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05128">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- 2 -</w:t>
    </w:r>
    <w:r>
      <w:fldChar w:fldCharType="end"/>
    </w:r>
  </w:p>
  <w:p w14:paraId="45DB7CA4">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2FA72">
    <w:pPr>
      <w:pStyle w:val="7"/>
      <w:framePr w:wrap="around" w:vAnchor="text" w:hAnchor="margin" w:xAlign="center" w:y="1"/>
      <w:rPr>
        <w:rStyle w:val="13"/>
      </w:rPr>
    </w:pPr>
    <w:r>
      <w:fldChar w:fldCharType="begin"/>
    </w:r>
    <w:r>
      <w:rPr>
        <w:rStyle w:val="13"/>
      </w:rPr>
      <w:instrText xml:space="preserve">PAGE  </w:instrText>
    </w:r>
    <w:r>
      <w:fldChar w:fldCharType="end"/>
    </w:r>
  </w:p>
  <w:p w14:paraId="7B15C4D3">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5EC06">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43E18"/>
    <w:multiLevelType w:val="multilevel"/>
    <w:tmpl w:val="80D43E18"/>
    <w:lvl w:ilvl="0" w:tentative="0">
      <w:start w:val="1"/>
      <w:numFmt w:val="decimal"/>
      <w:suff w:val="nothing"/>
      <w:lvlText w:val="(%1)"/>
      <w:lvlJc w:val="left"/>
      <w:pPr>
        <w:ind w:left="283" w:leftChars="0" w:hanging="283" w:firstLineChars="0"/>
      </w:pPr>
      <w:rPr>
        <w:rFonts w:hint="default" w:eastAsia="仿宋_GB2312"/>
        <w:sz w:val="24"/>
        <w:szCs w:val="24"/>
      </w:rPr>
    </w:lvl>
    <w:lvl w:ilvl="1" w:tentative="0">
      <w:start w:val="1"/>
      <w:numFmt w:val="lowerLetter"/>
      <w:lvlText w:val="%2)"/>
      <w:lvlJc w:val="left"/>
      <w:pPr>
        <w:tabs>
          <w:tab w:val="left" w:pos="170"/>
        </w:tabs>
        <w:ind w:left="283" w:leftChars="0" w:hanging="113" w:firstLineChars="0"/>
      </w:pPr>
    </w:lvl>
    <w:lvl w:ilvl="2" w:tentative="0">
      <w:start w:val="1"/>
      <w:numFmt w:val="lowerRoman"/>
      <w:lvlText w:val="%3."/>
      <w:lvlJc w:val="right"/>
      <w:pPr>
        <w:tabs>
          <w:tab w:val="left" w:pos="0"/>
        </w:tabs>
        <w:ind w:left="1260" w:hanging="420"/>
      </w:pPr>
    </w:lvl>
    <w:lvl w:ilvl="3" w:tentative="0">
      <w:start w:val="1"/>
      <w:numFmt w:val="decimal"/>
      <w:lvlText w:val="%4."/>
      <w:lvlJc w:val="left"/>
      <w:pPr>
        <w:tabs>
          <w:tab w:val="left" w:pos="0"/>
        </w:tabs>
        <w:ind w:left="1680" w:hanging="420"/>
      </w:pPr>
    </w:lvl>
    <w:lvl w:ilvl="4" w:tentative="0">
      <w:start w:val="1"/>
      <w:numFmt w:val="lowerLetter"/>
      <w:lvlText w:val="%5)"/>
      <w:lvlJc w:val="left"/>
      <w:pPr>
        <w:tabs>
          <w:tab w:val="left" w:pos="0"/>
        </w:tabs>
        <w:ind w:left="2100" w:hanging="420"/>
      </w:pPr>
    </w:lvl>
    <w:lvl w:ilvl="5" w:tentative="0">
      <w:start w:val="1"/>
      <w:numFmt w:val="lowerRoman"/>
      <w:lvlText w:val="%6."/>
      <w:lvlJc w:val="right"/>
      <w:pPr>
        <w:tabs>
          <w:tab w:val="left" w:pos="0"/>
        </w:tabs>
        <w:ind w:left="2520" w:hanging="420"/>
      </w:pPr>
    </w:lvl>
    <w:lvl w:ilvl="6" w:tentative="0">
      <w:start w:val="1"/>
      <w:numFmt w:val="decimal"/>
      <w:lvlText w:val="%7."/>
      <w:lvlJc w:val="left"/>
      <w:pPr>
        <w:tabs>
          <w:tab w:val="left" w:pos="0"/>
        </w:tabs>
        <w:ind w:left="2940" w:hanging="420"/>
      </w:pPr>
    </w:lvl>
    <w:lvl w:ilvl="7" w:tentative="0">
      <w:start w:val="1"/>
      <w:numFmt w:val="lowerLetter"/>
      <w:lvlText w:val="%8)"/>
      <w:lvlJc w:val="left"/>
      <w:pPr>
        <w:tabs>
          <w:tab w:val="left" w:pos="0"/>
        </w:tabs>
        <w:ind w:left="3360" w:hanging="420"/>
      </w:pPr>
    </w:lvl>
    <w:lvl w:ilvl="8" w:tentative="0">
      <w:start w:val="1"/>
      <w:numFmt w:val="lowerRoman"/>
      <w:lvlText w:val="%9."/>
      <w:lvlJc w:val="right"/>
      <w:pPr>
        <w:tabs>
          <w:tab w:val="left" w:pos="0"/>
        </w:tabs>
        <w:ind w:left="3780" w:hanging="420"/>
      </w:pPr>
    </w:lvl>
  </w:abstractNum>
  <w:abstractNum w:abstractNumId="1">
    <w:nsid w:val="4F75D8CB"/>
    <w:multiLevelType w:val="singleLevel"/>
    <w:tmpl w:val="4F75D8CB"/>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wMzQ5OTZkMzNlYjgyNzA5ZGMzNDJlZDY4MWQwMmQifQ=="/>
  </w:docVars>
  <w:rsids>
    <w:rsidRoot w:val="00B06743"/>
    <w:rsid w:val="00005622"/>
    <w:rsid w:val="00010EA1"/>
    <w:rsid w:val="00015FAB"/>
    <w:rsid w:val="0001789D"/>
    <w:rsid w:val="000248F4"/>
    <w:rsid w:val="00045454"/>
    <w:rsid w:val="00087009"/>
    <w:rsid w:val="000A056B"/>
    <w:rsid w:val="000B4908"/>
    <w:rsid w:val="000D202C"/>
    <w:rsid w:val="000E459A"/>
    <w:rsid w:val="000F5F54"/>
    <w:rsid w:val="00124A0B"/>
    <w:rsid w:val="00143232"/>
    <w:rsid w:val="00147C1B"/>
    <w:rsid w:val="00175674"/>
    <w:rsid w:val="001809AD"/>
    <w:rsid w:val="00186BED"/>
    <w:rsid w:val="00205298"/>
    <w:rsid w:val="0023562B"/>
    <w:rsid w:val="0026264F"/>
    <w:rsid w:val="00273D45"/>
    <w:rsid w:val="002E3FF0"/>
    <w:rsid w:val="003020D2"/>
    <w:rsid w:val="00316C4B"/>
    <w:rsid w:val="0035208E"/>
    <w:rsid w:val="00415083"/>
    <w:rsid w:val="004739E8"/>
    <w:rsid w:val="00492EB6"/>
    <w:rsid w:val="0050437C"/>
    <w:rsid w:val="00555E90"/>
    <w:rsid w:val="00561A8D"/>
    <w:rsid w:val="00571B71"/>
    <w:rsid w:val="005764FA"/>
    <w:rsid w:val="005B10A2"/>
    <w:rsid w:val="005B1219"/>
    <w:rsid w:val="005E5C39"/>
    <w:rsid w:val="006237E1"/>
    <w:rsid w:val="00636A5C"/>
    <w:rsid w:val="00674499"/>
    <w:rsid w:val="0067500D"/>
    <w:rsid w:val="006778D6"/>
    <w:rsid w:val="006E2A71"/>
    <w:rsid w:val="006E4679"/>
    <w:rsid w:val="00707513"/>
    <w:rsid w:val="00716BF7"/>
    <w:rsid w:val="00725392"/>
    <w:rsid w:val="00727F0B"/>
    <w:rsid w:val="007508D6"/>
    <w:rsid w:val="00755111"/>
    <w:rsid w:val="007A0946"/>
    <w:rsid w:val="007B0161"/>
    <w:rsid w:val="007B0ACD"/>
    <w:rsid w:val="007B77EC"/>
    <w:rsid w:val="007C2102"/>
    <w:rsid w:val="0080086B"/>
    <w:rsid w:val="00821959"/>
    <w:rsid w:val="00865D11"/>
    <w:rsid w:val="008B14ED"/>
    <w:rsid w:val="008B7804"/>
    <w:rsid w:val="008D4E6B"/>
    <w:rsid w:val="008E0BD3"/>
    <w:rsid w:val="008F6C20"/>
    <w:rsid w:val="00903AE2"/>
    <w:rsid w:val="00905CBC"/>
    <w:rsid w:val="00924D6D"/>
    <w:rsid w:val="00945C46"/>
    <w:rsid w:val="009814AB"/>
    <w:rsid w:val="0099041D"/>
    <w:rsid w:val="009C0C9F"/>
    <w:rsid w:val="009D4FFD"/>
    <w:rsid w:val="009E0AF3"/>
    <w:rsid w:val="00A04B59"/>
    <w:rsid w:val="00A06348"/>
    <w:rsid w:val="00A379C7"/>
    <w:rsid w:val="00A74C1D"/>
    <w:rsid w:val="00AB07F6"/>
    <w:rsid w:val="00AC1036"/>
    <w:rsid w:val="00AC4472"/>
    <w:rsid w:val="00AD2878"/>
    <w:rsid w:val="00AD41B2"/>
    <w:rsid w:val="00AE540A"/>
    <w:rsid w:val="00B008F5"/>
    <w:rsid w:val="00B06743"/>
    <w:rsid w:val="00B2282B"/>
    <w:rsid w:val="00B43A0E"/>
    <w:rsid w:val="00B44FC8"/>
    <w:rsid w:val="00B5138A"/>
    <w:rsid w:val="00B5309E"/>
    <w:rsid w:val="00B8003D"/>
    <w:rsid w:val="00BB4BCB"/>
    <w:rsid w:val="00C006DD"/>
    <w:rsid w:val="00C05C33"/>
    <w:rsid w:val="00C42532"/>
    <w:rsid w:val="00C56B82"/>
    <w:rsid w:val="00C974F6"/>
    <w:rsid w:val="00CD3514"/>
    <w:rsid w:val="00D13FFD"/>
    <w:rsid w:val="00D272AC"/>
    <w:rsid w:val="00D51B2E"/>
    <w:rsid w:val="00D5376E"/>
    <w:rsid w:val="00D67C75"/>
    <w:rsid w:val="00D903A2"/>
    <w:rsid w:val="00DA298E"/>
    <w:rsid w:val="00DB07F6"/>
    <w:rsid w:val="00DF3330"/>
    <w:rsid w:val="00E206AF"/>
    <w:rsid w:val="00E3045F"/>
    <w:rsid w:val="00E410A2"/>
    <w:rsid w:val="00E65ACC"/>
    <w:rsid w:val="00EE66F6"/>
    <w:rsid w:val="00EF6356"/>
    <w:rsid w:val="00F2729D"/>
    <w:rsid w:val="00F86B46"/>
    <w:rsid w:val="00FA5781"/>
    <w:rsid w:val="020368CB"/>
    <w:rsid w:val="02207741"/>
    <w:rsid w:val="023044DB"/>
    <w:rsid w:val="025979F8"/>
    <w:rsid w:val="02720711"/>
    <w:rsid w:val="031D4362"/>
    <w:rsid w:val="065523DB"/>
    <w:rsid w:val="06791DA0"/>
    <w:rsid w:val="076B7941"/>
    <w:rsid w:val="0815393E"/>
    <w:rsid w:val="0B3A05A7"/>
    <w:rsid w:val="0CAF11F7"/>
    <w:rsid w:val="0F16254C"/>
    <w:rsid w:val="0F5C001F"/>
    <w:rsid w:val="0FCD43AA"/>
    <w:rsid w:val="134B6614"/>
    <w:rsid w:val="14537CB2"/>
    <w:rsid w:val="14D97AA4"/>
    <w:rsid w:val="14EA31E6"/>
    <w:rsid w:val="152B4898"/>
    <w:rsid w:val="1573579E"/>
    <w:rsid w:val="158A5D44"/>
    <w:rsid w:val="16092F4C"/>
    <w:rsid w:val="18AD00E3"/>
    <w:rsid w:val="1931329B"/>
    <w:rsid w:val="1A0B056D"/>
    <w:rsid w:val="1A3F1935"/>
    <w:rsid w:val="1C752A67"/>
    <w:rsid w:val="1CD1752E"/>
    <w:rsid w:val="1DB92089"/>
    <w:rsid w:val="1E080525"/>
    <w:rsid w:val="1FF73FA0"/>
    <w:rsid w:val="2013041F"/>
    <w:rsid w:val="20CD264D"/>
    <w:rsid w:val="230832A3"/>
    <w:rsid w:val="248527FB"/>
    <w:rsid w:val="250C56D7"/>
    <w:rsid w:val="271348FF"/>
    <w:rsid w:val="274F17BA"/>
    <w:rsid w:val="28BA7E2E"/>
    <w:rsid w:val="29511136"/>
    <w:rsid w:val="29C13B7E"/>
    <w:rsid w:val="2A9E49FF"/>
    <w:rsid w:val="2AC77529"/>
    <w:rsid w:val="2B0543A3"/>
    <w:rsid w:val="2D6C67D6"/>
    <w:rsid w:val="2E4559F8"/>
    <w:rsid w:val="2F157679"/>
    <w:rsid w:val="2F7D65A9"/>
    <w:rsid w:val="3103797D"/>
    <w:rsid w:val="31C64C17"/>
    <w:rsid w:val="32051326"/>
    <w:rsid w:val="327E2333"/>
    <w:rsid w:val="33046F06"/>
    <w:rsid w:val="36367142"/>
    <w:rsid w:val="381B403F"/>
    <w:rsid w:val="38B422ED"/>
    <w:rsid w:val="38D83334"/>
    <w:rsid w:val="3A4E4E7B"/>
    <w:rsid w:val="3ABA78FD"/>
    <w:rsid w:val="3B01636E"/>
    <w:rsid w:val="3C8A4A90"/>
    <w:rsid w:val="3EF65ABD"/>
    <w:rsid w:val="3F4862E8"/>
    <w:rsid w:val="41237076"/>
    <w:rsid w:val="41B572EC"/>
    <w:rsid w:val="42836669"/>
    <w:rsid w:val="43F36C84"/>
    <w:rsid w:val="452A66DF"/>
    <w:rsid w:val="45400159"/>
    <w:rsid w:val="454B59B7"/>
    <w:rsid w:val="45593B54"/>
    <w:rsid w:val="47261C0D"/>
    <w:rsid w:val="473B651E"/>
    <w:rsid w:val="473C1567"/>
    <w:rsid w:val="478A3ABD"/>
    <w:rsid w:val="47A22378"/>
    <w:rsid w:val="47A76CB9"/>
    <w:rsid w:val="47E739BF"/>
    <w:rsid w:val="487261CC"/>
    <w:rsid w:val="4910358D"/>
    <w:rsid w:val="496754B0"/>
    <w:rsid w:val="49DD7FDC"/>
    <w:rsid w:val="4A2C1556"/>
    <w:rsid w:val="4CFE103C"/>
    <w:rsid w:val="4DBD57A7"/>
    <w:rsid w:val="4DF02630"/>
    <w:rsid w:val="4E075EDF"/>
    <w:rsid w:val="4EEC5C94"/>
    <w:rsid w:val="4F9B0C73"/>
    <w:rsid w:val="4FDE1715"/>
    <w:rsid w:val="50890512"/>
    <w:rsid w:val="508916A9"/>
    <w:rsid w:val="50BE60CB"/>
    <w:rsid w:val="50FD2F38"/>
    <w:rsid w:val="523F7C72"/>
    <w:rsid w:val="531811A9"/>
    <w:rsid w:val="53291193"/>
    <w:rsid w:val="53D46B40"/>
    <w:rsid w:val="53E43DB6"/>
    <w:rsid w:val="54142BB0"/>
    <w:rsid w:val="54CA440B"/>
    <w:rsid w:val="54E145EA"/>
    <w:rsid w:val="5543485A"/>
    <w:rsid w:val="5550731C"/>
    <w:rsid w:val="56E2589C"/>
    <w:rsid w:val="57213DA8"/>
    <w:rsid w:val="57D33473"/>
    <w:rsid w:val="584D618C"/>
    <w:rsid w:val="59401EF7"/>
    <w:rsid w:val="5B984680"/>
    <w:rsid w:val="5C302C12"/>
    <w:rsid w:val="5C8D69EA"/>
    <w:rsid w:val="5CB815AD"/>
    <w:rsid w:val="5E7A7EB0"/>
    <w:rsid w:val="5EA653B1"/>
    <w:rsid w:val="5F321D76"/>
    <w:rsid w:val="5F7B2DA0"/>
    <w:rsid w:val="5F855134"/>
    <w:rsid w:val="60E30AB9"/>
    <w:rsid w:val="616C341D"/>
    <w:rsid w:val="63564152"/>
    <w:rsid w:val="63583CE7"/>
    <w:rsid w:val="64C36340"/>
    <w:rsid w:val="65E33ABE"/>
    <w:rsid w:val="66025375"/>
    <w:rsid w:val="6696509D"/>
    <w:rsid w:val="673E54E3"/>
    <w:rsid w:val="69620EC5"/>
    <w:rsid w:val="6C493FB6"/>
    <w:rsid w:val="6C8928FB"/>
    <w:rsid w:val="6CA036CD"/>
    <w:rsid w:val="6D5835CB"/>
    <w:rsid w:val="6E264ED1"/>
    <w:rsid w:val="6EAC3F93"/>
    <w:rsid w:val="6ED413CB"/>
    <w:rsid w:val="6EDB416D"/>
    <w:rsid w:val="6F0640EE"/>
    <w:rsid w:val="70383246"/>
    <w:rsid w:val="712311B4"/>
    <w:rsid w:val="71AE61DB"/>
    <w:rsid w:val="71BB177D"/>
    <w:rsid w:val="736B6264"/>
    <w:rsid w:val="73950FB3"/>
    <w:rsid w:val="748E38EF"/>
    <w:rsid w:val="74C5282A"/>
    <w:rsid w:val="75141062"/>
    <w:rsid w:val="7648219D"/>
    <w:rsid w:val="76B71877"/>
    <w:rsid w:val="77522251"/>
    <w:rsid w:val="78B35AFC"/>
    <w:rsid w:val="78C45712"/>
    <w:rsid w:val="79216108"/>
    <w:rsid w:val="79E65A78"/>
    <w:rsid w:val="7A3F571C"/>
    <w:rsid w:val="7A4E1332"/>
    <w:rsid w:val="7AAA7EBB"/>
    <w:rsid w:val="7B644801"/>
    <w:rsid w:val="7BAD29F5"/>
    <w:rsid w:val="7BD87B14"/>
    <w:rsid w:val="7C086098"/>
    <w:rsid w:val="7C0D32A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6"/>
    <w:qFormat/>
    <w:uiPriority w:val="0"/>
    <w:pPr>
      <w:keepNext/>
      <w:keepLines/>
      <w:spacing w:before="340" w:after="330" w:line="576" w:lineRule="auto"/>
      <w:outlineLvl w:val="0"/>
    </w:pPr>
    <w:rPr>
      <w:b/>
      <w:kern w:val="44"/>
      <w:sz w:val="44"/>
    </w:rPr>
  </w:style>
  <w:style w:type="paragraph" w:styleId="3">
    <w:name w:val="heading 3"/>
    <w:basedOn w:val="1"/>
    <w:next w:val="1"/>
    <w:unhideWhenUsed/>
    <w:qFormat/>
    <w:uiPriority w:val="0"/>
    <w:pPr>
      <w:keepNext/>
      <w:keepLines/>
      <w:spacing w:before="40" w:after="40" w:line="360" w:lineRule="auto"/>
      <w:outlineLvl w:val="2"/>
    </w:pPr>
    <w:rPr>
      <w:b/>
      <w:sz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spacing w:line="360" w:lineRule="auto"/>
      <w:ind w:firstLine="480"/>
    </w:pPr>
    <w:rPr>
      <w:color w:val="FF0000"/>
      <w:sz w:val="24"/>
    </w:rPr>
  </w:style>
  <w:style w:type="paragraph" w:styleId="5">
    <w:name w:val="Plain Text"/>
    <w:basedOn w:val="1"/>
    <w:link w:val="15"/>
    <w:qFormat/>
    <w:uiPriority w:val="0"/>
    <w:rPr>
      <w:rFonts w:ascii="宋体" w:hAnsi="Courier New"/>
      <w:szCs w:val="21"/>
    </w:rPr>
  </w:style>
  <w:style w:type="paragraph" w:styleId="6">
    <w:name w:val="Balloon Text"/>
    <w:basedOn w:val="1"/>
    <w:semiHidden/>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100" w:beforeAutospacing="1" w:after="100" w:afterAutospacing="1"/>
      <w:jc w:val="left"/>
    </w:pPr>
    <w:rPr>
      <w:kern w:val="0"/>
      <w:sz w:val="24"/>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qFormat/>
    <w:uiPriority w:val="0"/>
  </w:style>
  <w:style w:type="character" w:styleId="14">
    <w:name w:val="Hyperlink"/>
    <w:qFormat/>
    <w:uiPriority w:val="0"/>
    <w:rPr>
      <w:color w:val="0000FF"/>
      <w:u w:val="single"/>
    </w:rPr>
  </w:style>
  <w:style w:type="character" w:customStyle="1" w:styleId="15">
    <w:name w:val="纯文本 Char"/>
    <w:link w:val="5"/>
    <w:qFormat/>
    <w:uiPriority w:val="0"/>
    <w:rPr>
      <w:rFonts w:ascii="宋体" w:hAnsi="Courier New"/>
      <w:kern w:val="2"/>
      <w:sz w:val="21"/>
      <w:szCs w:val="21"/>
    </w:rPr>
  </w:style>
  <w:style w:type="character" w:customStyle="1" w:styleId="16">
    <w:name w:val="标题 1 Char"/>
    <w:link w:val="2"/>
    <w:qFormat/>
    <w:uiPriority w:val="0"/>
    <w:rPr>
      <w:b/>
      <w:kern w:val="44"/>
      <w:sz w:val="44"/>
      <w:szCs w:val="24"/>
    </w:rPr>
  </w:style>
  <w:style w:type="paragraph" w:customStyle="1" w:styleId="17">
    <w:name w:val="msolistparagraph"/>
    <w:basedOn w:val="1"/>
    <w:autoRedefine/>
    <w:qFormat/>
    <w:uiPriority w:val="0"/>
    <w:pPr>
      <w:ind w:firstLine="420"/>
    </w:pPr>
  </w:style>
  <w:style w:type="character" w:customStyle="1" w:styleId="18">
    <w:name w:val="font61"/>
    <w:basedOn w:val="12"/>
    <w:qFormat/>
    <w:uiPriority w:val="0"/>
    <w:rPr>
      <w:rFonts w:hint="eastAsia" w:ascii="宋体" w:hAnsi="宋体" w:eastAsia="宋体" w:cs="宋体"/>
      <w:color w:val="000000"/>
      <w:sz w:val="18"/>
      <w:szCs w:val="18"/>
      <w:u w:val="none"/>
    </w:rPr>
  </w:style>
  <w:style w:type="character" w:customStyle="1" w:styleId="19">
    <w:name w:val="font91"/>
    <w:basedOn w:val="12"/>
    <w:qFormat/>
    <w:uiPriority w:val="0"/>
    <w:rPr>
      <w:rFonts w:hint="eastAsia" w:ascii="宋体" w:hAnsi="宋体" w:eastAsia="宋体" w:cs="宋体"/>
      <w:color w:val="FF0000"/>
      <w:sz w:val="18"/>
      <w:szCs w:val="18"/>
      <w:u w:val="none"/>
    </w:rPr>
  </w:style>
  <w:style w:type="character" w:customStyle="1" w:styleId="20">
    <w:name w:val="正文文本缩进 Char1"/>
    <w:semiHidden/>
    <w:qFormat/>
    <w:uiPriority w:val="99"/>
    <w:rPr>
      <w:rFonts w:ascii="Times New Roman" w:hAnsi="Times New Roman" w:eastAsia="宋体" w:cs="Times New Roman"/>
      <w:szCs w:val="24"/>
    </w:rPr>
  </w:style>
  <w:style w:type="paragraph" w:customStyle="1" w:styleId="21">
    <w:name w:val="样式 正文文本缩进 + 左  0 字符"/>
    <w:basedOn w:val="4"/>
    <w:qFormat/>
    <w:uiPriority w:val="0"/>
    <w:pPr>
      <w:spacing w:after="0" w:line="360" w:lineRule="auto"/>
      <w:ind w:left="0" w:leftChars="0" w:firstLine="250" w:firstLineChars="250"/>
    </w:pPr>
    <w:rPr>
      <w:rFonts w:ascii="Times New Roman" w:hAnsi="Times New Roman" w:cs="宋体"/>
      <w:color w:val="FF0000"/>
      <w:sz w:val="24"/>
      <w:szCs w:val="20"/>
    </w:rPr>
  </w:style>
  <w:style w:type="character" w:customStyle="1" w:styleId="22">
    <w:name w:val="font31"/>
    <w:basedOn w:val="12"/>
    <w:qFormat/>
    <w:uiPriority w:val="0"/>
    <w:rPr>
      <w:rFonts w:hint="eastAsia" w:ascii="宋体" w:hAnsi="宋体" w:eastAsia="宋体" w:cs="宋体"/>
      <w:color w:val="FF0000"/>
      <w:sz w:val="16"/>
      <w:szCs w:val="16"/>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QYY</Company>
  <Pages>7</Pages>
  <Words>6114</Words>
  <Characters>6756</Characters>
  <Lines>14</Lines>
  <Paragraphs>3</Paragraphs>
  <TotalTime>0</TotalTime>
  <ScaleCrop>false</ScaleCrop>
  <LinksUpToDate>false</LinksUpToDate>
  <CharactersWithSpaces>7076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2021-02-09T09:16:00Z</dcterms:created>
  <dc:creator>DB</dc:creator>
  <cp:lastModifiedBy>iko </cp:lastModifiedBy>
  <cp:lastPrinted>2019-03-13T09:11:00Z</cp:lastPrinted>
  <dcterms:modified xsi:type="dcterms:W3CDTF">2025-06-26T00:15:24Z</dcterms:modified>
  <dc:title>广西壮族自治区人民医院</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A6B65257244B4A10BBEA1513EE736F24_13</vt:lpwstr>
  </property>
  <property fmtid="{D5CDD505-2E9C-101B-9397-08002B2CF9AE}" pid="4" name="KSOTemplateDocerSaveRecord">
    <vt:lpwstr>eyJoZGlkIjoiZDMzNDM2YTcyYzE1NjQ1ZjExM2IxMTI5NmU5YzdhNGYiLCJ1c2VySWQiOiIxMzA0MjYyODkwIn0=</vt:lpwstr>
  </property>
</Properties>
</file>